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46AEC8" w14:textId="77777777" w:rsidR="0071798C" w:rsidRPr="00D5266A" w:rsidRDefault="0071798C" w:rsidP="00D5266A">
      <w:pPr>
        <w:pStyle w:val="a3"/>
        <w:jc w:val="right"/>
        <w:rPr>
          <w:rFonts w:ascii="Helvetica" w:hAnsi="Helvetica" w:cs="Helvetica"/>
          <w:color w:val="0A0A0A"/>
        </w:rPr>
      </w:pPr>
      <w:r w:rsidRPr="00D5266A">
        <w:rPr>
          <w:rFonts w:ascii="Helvetica" w:hAnsi="Helvetica" w:cs="Helvetica"/>
          <w:color w:val="0A0A0A"/>
        </w:rPr>
        <w:t>Приложение 122 к приказу</w:t>
      </w:r>
      <w:r w:rsidRPr="00D5266A">
        <w:rPr>
          <w:rFonts w:ascii="Helvetica" w:hAnsi="Helvetica" w:cs="Helvetica"/>
          <w:color w:val="0A0A0A"/>
        </w:rPr>
        <w:br/>
        <w:t>Первого заместителя</w:t>
      </w:r>
      <w:r w:rsidRPr="00D5266A">
        <w:rPr>
          <w:rFonts w:ascii="Helvetica" w:hAnsi="Helvetica" w:cs="Helvetica"/>
          <w:color w:val="0A0A0A"/>
        </w:rPr>
        <w:br/>
        <w:t>Премьера-Министра</w:t>
      </w:r>
      <w:r w:rsidRPr="00D5266A">
        <w:rPr>
          <w:rFonts w:ascii="Helvetica" w:hAnsi="Helvetica" w:cs="Helvetica"/>
          <w:color w:val="0A0A0A"/>
        </w:rPr>
        <w:br/>
        <w:t>Республики Казахстан –</w:t>
      </w:r>
      <w:r w:rsidRPr="00D5266A">
        <w:rPr>
          <w:rFonts w:ascii="Helvetica" w:hAnsi="Helvetica" w:cs="Helvetica"/>
          <w:color w:val="0A0A0A"/>
        </w:rPr>
        <w:br/>
        <w:t>Министра финансов</w:t>
      </w:r>
      <w:r w:rsidRPr="00D5266A">
        <w:rPr>
          <w:rFonts w:ascii="Helvetica" w:hAnsi="Helvetica" w:cs="Helvetica"/>
          <w:color w:val="0A0A0A"/>
        </w:rPr>
        <w:br/>
        <w:t>Республики Казахстан</w:t>
      </w:r>
      <w:r w:rsidRPr="00D5266A">
        <w:rPr>
          <w:rFonts w:ascii="Helvetica" w:hAnsi="Helvetica" w:cs="Helvetica"/>
          <w:color w:val="0A0A0A"/>
        </w:rPr>
        <w:br/>
        <w:t>от 20 января 2020 года № 39</w:t>
      </w:r>
    </w:p>
    <w:p w14:paraId="74ABEE91"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Правила составления налоговой отчетности «Декларация по индивидуальному подоходному налогу и социальному налогу (форма 200.00)»</w:t>
      </w:r>
    </w:p>
    <w:p w14:paraId="02EC2E8F"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1. Общие положения</w:t>
      </w:r>
    </w:p>
    <w:p w14:paraId="08FCD5EE"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1. Настоящие Правила составления налоговой отчетности «Декларация по индивидуальному подоходному налогу и социальному налогу (форма 200.00)»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Социальным кодексом Республики Казахстан (далее – Социальный кодекс) и Законом Республики Казахстан «Об обязательном социальном медицинском страховании» (далее – Закон об обязательном социальном медицинском страховании).</w:t>
      </w:r>
    </w:p>
    <w:p w14:paraId="03B537E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Правила определяют порядок составления формы налоговой отчетности «Декларация по индивидуальному подоходному налогу и социальному налогу» (далее – декларация), предназначенной для исчисления индивидуального подоходного налога (далее – ИПН), социального налога, единого платежа, а также для исчисления, удержания (начисления) и перечисления сумм обязательных пенсионных взносов (далее – обязательные пенсионные взносы), обязательных профессиональных пенсионных взносов, обязательных пенсионных взносов работодателя в единый накопительный пенсионный фонд (далее – ЕНПФ), начисления и перечисления сумм социальных отчислений в Государственный фонд социального страхования (далее – социальные отчисления), отчислений и (или) взносов на обязательное социальное медицинское страхование (далее – ОСМС).</w:t>
      </w:r>
    </w:p>
    <w:p w14:paraId="30CE0719"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 xml:space="preserve">Декларация составляется налогоплательщиками (налоговыми агентами, за исключением применяющих специальные налоговые режимы для крестьянских или фермерских хозяйств, на основе упрощенной декларации), плательщиками единого платежа согласно главам 35 и 36 раздела 8, главе 74 раздела 19, разделу 19 и главе 89-1 раздела 24-1 Налогового кодекса, агентами по уплате обязательных пенсионных взносов, обязательных профессиональных пенсионных взносов, обязательных пенсионных взносов работодателя и плательщиками социальных отчислений в соответствии с Социальным кодексом, плательщиками взносов и (или) отчислений на обязательное социальное медицинское страхование в соответствии с Законом об обязательном социальном медицинском страховании, в том числе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 по обязательным пенсионным взносам, социальным </w:t>
      </w:r>
      <w:r w:rsidRPr="00D5266A">
        <w:rPr>
          <w:rFonts w:ascii="Helvetica" w:hAnsi="Helvetica" w:cs="Helvetica"/>
          <w:color w:val="0A0A0A"/>
          <w:sz w:val="24"/>
          <w:szCs w:val="24"/>
          <w:shd w:val="clear" w:color="auto" w:fill="F7F7F7"/>
        </w:rPr>
        <w:lastRenderedPageBreak/>
        <w:t>отчислениям, взносам на ОСМС в свою пользу в размерах, установленных Социальным кодексом и Законом об обязательном социальном медицинском страховании.</w:t>
      </w:r>
    </w:p>
    <w:p w14:paraId="656B213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Структурные подразделения, признанные по решению юридического лица самостоятельными плательщиками социального налога согласно пункту 3 статьи 482 Налогового кодекса, признаются налоговыми агентами по индивидуальному подоходному налогу.</w:t>
      </w:r>
    </w:p>
    <w:p w14:paraId="59E753A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Налогоплательщик, осуществляющий деятельность в рамках специального налогового режима в соответствии со статьями 697, 698, 699, 700 и 701 Налогового кодекса и деятельность, налогообложение которой производит в общеустановленном порядке, представление декларации производит раздельно по каждому виду деятельности в соответствии с пунктом 1 статьи 207 Налогового кодекса.</w:t>
      </w:r>
    </w:p>
    <w:p w14:paraId="1A8087A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 Данная форма распространяется на правоотношения, возникшие с 1 января 2023 года.</w:t>
      </w:r>
    </w:p>
    <w:p w14:paraId="4FE1F48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Декларация состоит из самой декларации (форма 200.00) и приложений к ней (формы с 200.01 по 200.06), предназначенных для детального отражения информации об исчислении налогового обязательства.</w:t>
      </w:r>
    </w:p>
    <w:p w14:paraId="2A6EC27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При заполнении декларации не допускаются исправления, подчистки и помарки.</w:t>
      </w:r>
    </w:p>
    <w:p w14:paraId="7627773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При отсутствии показателей соответствующие ячейки декларации не заполняются.</w:t>
      </w:r>
    </w:p>
    <w:p w14:paraId="6315825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4B35820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Приложения к декларации не составляются при отсутствии данных, подлежащих отражению в них.</w:t>
      </w:r>
    </w:p>
    <w:p w14:paraId="5ECABC4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22A6F42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В настоящих Правилах применяются следующие арифметические знаки: «+» – плюс, «–» – минус, «х» – умножение, «/» – деление, «=» – равно.</w:t>
      </w:r>
    </w:p>
    <w:p w14:paraId="79F11A4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9. Отрицательные значения сумм обозначаются знаком «–» в первой левой ячейке соответствующей строки (графы) декларации.</w:t>
      </w:r>
    </w:p>
    <w:p w14:paraId="318A637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 При составлении декларации:</w:t>
      </w:r>
    </w:p>
    <w:p w14:paraId="2516E3A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7A28A7E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2) в электронной форме – заполняется в соответствии со статьей 208 Налогового кодекса.</w:t>
      </w:r>
    </w:p>
    <w:p w14:paraId="04BE3D2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плательщиком единого платежа, агентом или плательщиком социальных платежей) на бумажном и (или) электронных носителях на казахском и (или) русском языках, в соответствии с пунктом 2 статьи 204 Налогового кодекса.</w:t>
      </w:r>
    </w:p>
    <w:p w14:paraId="113C10B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 При представлении декларации:</w:t>
      </w:r>
    </w:p>
    <w:p w14:paraId="48598A9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в явочном порядке на бумажном носителе – составляется в двух экземплярах, один экземпляр возвращается налогоплательщику (налоговому агенту, плательщику единого платежа, агенту или плательщику социальных платежей)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2E262AA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по почте заказным письмом с уведомлением на бумажном носителе – налогоплательщик (налоговый агент, плательщик единого платежа, агент или плательщик социальных платежей) получает уведомление почтовой или иной организации связи;</w:t>
      </w:r>
    </w:p>
    <w:p w14:paraId="093F2F2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в электронной форме, допускающем компьютерную обработку информации – налогоплательщик (налоговый агент, плательщик единого платежа, агент или плательщик социальных платежей)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5801710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 В разделах «Общая информация о налогоплательщике (налоговом агенте, плательщике единого платежа, агенте или плательщике социальных платежей)» приложений указываются соответствующие данные, отраженные в разделе «Общая информация о налогоплательщике (налоговом агенте, плательщике единого платежа, агенте или плательщике социальных платежей)» декларации.</w:t>
      </w:r>
    </w:p>
    <w:p w14:paraId="4A5A8677"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2. Пояснение по заполнению декларации (форма 200.00)</w:t>
      </w:r>
    </w:p>
    <w:p w14:paraId="05DE6FBC"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14. В разделе «Общая информация о налогоплательщике (налоговом агенте, плательщике единого платежа, агенте или плательщике социальных платежей)» налогоплательщик указывает следующие данные: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 Индивидуальный идентификационный номер (бизнес-идентификационный номер) (далее – ИИН (БИН)) налогоплательщика.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При исполнении налогового обязательства доверительным управляющим в строке указывается ИИН (БИН) доверительного управляющего;</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2) налоговый период, за который представляется налоговая отчетность – отчетный квартал, в который входят отчетные налоговые периоды (указывается арабскими цифрами);</w:t>
      </w:r>
      <w:r w:rsidRPr="00D5266A">
        <w:rPr>
          <w:rFonts w:ascii="Helvetica" w:hAnsi="Helvetica" w:cs="Helvetica"/>
          <w:color w:val="0A0A0A"/>
          <w:sz w:val="24"/>
          <w:szCs w:val="24"/>
        </w:rPr>
        <w:br/>
      </w:r>
      <w:r w:rsidRPr="00D5266A">
        <w:rPr>
          <w:rFonts w:ascii="Helvetica" w:hAnsi="Helvetica" w:cs="Helvetica"/>
          <w:color w:val="0A0A0A"/>
          <w:sz w:val="24"/>
          <w:szCs w:val="24"/>
        </w:rPr>
        <w:lastRenderedPageBreak/>
        <w:br/>
      </w:r>
      <w:r w:rsidRPr="00D5266A">
        <w:rPr>
          <w:rFonts w:ascii="Helvetica" w:hAnsi="Helvetica" w:cs="Helvetica"/>
          <w:color w:val="0A0A0A"/>
          <w:sz w:val="24"/>
          <w:szCs w:val="24"/>
          <w:shd w:val="clear" w:color="auto" w:fill="F7F7F7"/>
        </w:rPr>
        <w:t>3) наименование налогоплательщика (налогового агента, плательщика единого платежа, агента или плательщика социальных платежей)/фамилия, имя, отчество (при его наличии) вкладчика (плательщика) – фамилия, имя, отчество (при его наличии) физического лица или наименование юридического лица в соответствии с учредительными документами.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При исполнении налогового обязательства доверительным управляющим в строке указываются фамилия, имя, отчество (при его наличии) физического лица или наименование юридического лица-доверительного управляющего;</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4) вид декларации.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Соответствующие ячейки отмечаются с учетом отнесения декларации к видам налоговой отчетности, указанным в статье 206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5) номер и дата уведомления.</w:t>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Строки заполняются при представлении вида декларации, предусмотренного подпунктом 4) пункта 3 статьи 206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6) отдельные категории налогоплательщика (налогового агента, плательщика единого платежа, агента или плательщика социальных платежей).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Ячейки отмечаются, если налогоплательщик относится к одной из категорий, указанных в строках А, B, C, D, Е и F:</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А – доверительный управляющий в соответствии со статьей 40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В – налогоплательщик, применяющий специальный налоговый режим для производителей сельскохозяйственной продукции и сельскохозяйственных кооперативов в соответствии со статьей 355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 – учредитель доверительного управления в соответствии со статьей 40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D – налогоплательщик, применяющий специальный налоговый режим на основе патента в соответствии со статьей 355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Е – налогоплательщик, применяющий специальный налоговый режим с использованием фиксированного вычета в соответствии со статьей 355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F – плательщик единого платежа в соответствии со статьей 776-1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 xml:space="preserve">Если налогоплательщик, отметивший ячейку 6В одновременно относится к категории 6А, 6С или 6D, 6F, то отмечает обе ячейки 6В и 6А, 6В и 6С или 6D; 6B и </w:t>
      </w:r>
      <w:r w:rsidRPr="00D5266A">
        <w:rPr>
          <w:rFonts w:ascii="Helvetica" w:hAnsi="Helvetica" w:cs="Helvetica"/>
          <w:color w:val="0A0A0A"/>
          <w:sz w:val="24"/>
          <w:szCs w:val="24"/>
          <w:shd w:val="clear" w:color="auto" w:fill="F7F7F7"/>
        </w:rPr>
        <w:lastRenderedPageBreak/>
        <w:t>6F.</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7) участник Международного финансового центра «Астана» (далее – МФЦА) в соответствии с Конституционным законом Республики Казахстан «О Международном финансовом центре «Астана» (далее – Конституционный закон);</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8) код валюты –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Данный код валюты не распространяется на социальные платежи, которые отражаются в соответствующих строках декларации и приложений к ней в тенге;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9) признак резидентства: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ячейка А отмечается налогоплательщиком-резидентом Республики Казахстан;</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ячейка В отмечается налогоплательщиком-нерезидентом Республики Казахстан;</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10) общая численность работников (человек) – численность работников, в том числе иностранцев и лиц без гражданства которым начислены доходы в отчетном квартале.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При предоставлении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11) наличие структурных подразделений, не признанных по решению юридического лица-резидента налоговыми агентами по ИПН и самостоятельными плательщиками по социальному налогу.</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При наличии у юридического лица-резидента структурных подразделений, не признанных налоговыми агентами по ИПН и самостоятельными плательщиками по социальному налогу, отмечается соответствующая ячейка. Обязательно для заполнения одной из ячеек;</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12) представленные приложения.</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Отмечаются ячейки представленных приложений;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13) количество приложений 200.03.</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Указывается количество приложений 200.03,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lastRenderedPageBreak/>
        <w:t>14) количество приложений 200.04.</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Указывается количество приложений 200.04, которое соответствует количеству контрактов, заключенных с Республикой Казахстан в установленном Налоговым кодексом порядке;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15) количество приложений 200.06.</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Указывается количество приложений 200.06,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 и налогового агента (в том числе структурного подразделения, признанного налоговым агентом).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15. В разделе «Расчетные показатели»: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 строки 200.00.001 I, 200.00.001 II и 200.00.001 III предназначены для отражения суммы ИПН, исчисленного с доходов, выплаченных физическим лицам и подлежащей перечислению в бюджет за каждый месяц отчетного квартала налоговым агентом (в том числе структурных подразделений, признанных налоговыми агентами в соответствии со статьей 353 Налогового кодекса), за исключением суммы ИПН в составе единого платежа и суммы ИПН, подлежащей уплате в бюджет по доходам работников структурных подразделений, не признанных налоговыми агентами по ИПН и самостоятельными плательщиками по социальному налогу,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200.00.001 IV предназначена для отражения итоговой суммы налога за отчетный квартал, определяемой как сумма строк 200.00.001 I, 200.00.001 II и 200.00.001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2) строки 200.00.002 I, 200.00.002 II и 200.00.002 III предназначены для отражения суммы обязательных пенсионных взносов, исчисленных с выплаченных доходов работников и физических лиц по договорам гражданско-правового характера и подлежащих перечислению в ЕНПФ за каждый месяц отчетного квартала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обязательных пенсионных взносов в составе единого платежа и сумм обязательных пенсионных взносов,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200.00.002 IV предназначена для отражения итоговой суммы обязательных пенсионных взносов за отчетный квартал, определяемой как сумма строк 200.00.002 I, 200.00.002 II и 200.00.002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 xml:space="preserve">3) строки 200.00.003 I, 200.00.003 II и 200.00.003 III предназначены для отражения </w:t>
      </w:r>
      <w:r w:rsidRPr="00D5266A">
        <w:rPr>
          <w:rFonts w:ascii="Helvetica" w:hAnsi="Helvetica" w:cs="Helvetica"/>
          <w:color w:val="0A0A0A"/>
          <w:sz w:val="24"/>
          <w:szCs w:val="24"/>
          <w:shd w:val="clear" w:color="auto" w:fill="F7F7F7"/>
        </w:rPr>
        <w:lastRenderedPageBreak/>
        <w:t>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профессиональных пенсионных взносов,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профессиональных пенсионных взносов, подлежащих уплате за структурные подразделения, не признанные налоговыми агентами,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200.00.003 IV предназначена для отражения итоговой суммы обязательных профессиональных пенсионных взносов за отчетный квартал, определяемой как сумма строк 200.00.003 I, 200.00.003 II и 200.00.003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4) строки 200.00.004 I, 200.00.004 II и 200.00.004 III предназначены для отражения суммы обязательных пенсионных взносов, подлежащих перечислению в свою пользу в ЕНПФ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200.00.004 IV предназначена для отражения итоговой суммы обязательных пенсионных взносов за отчетный квартал, определяемой как сумма строк 200.00.004 I, 200.00.004 II и 200.00.004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5) строки 200.00.005 I, 200.00.005 II и 200.00.005 III предназначены для отражения суммы социального налога, подлежащего уплате в бюджет, исчисленного в соответствии с пунктом 1 статьи 485 Налогового кодекса за каждый месяц отчетного квартала, и уменьшенного на сумму социальных отчислений, исчисленных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ИПН и самостоятельными плательщиками по социальному налогу,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Данные строки не заполняются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Исчисление социального налога, подлежащего уплате производится по каждому работнику.</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200.00.005 IV предназначена для отражения итоговой суммы налога за отчетный квартал, определяемой как сумма строк 200.00.005 I, 200.00.005 II и 200.00.005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lastRenderedPageBreak/>
        <w:t>6) при представлении декларации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 сумма социального налога, подлежащего уплате в бюджет, отражается в строке 200.00.006 с учетом особенности, установленной статьей 700 Налогового кодекса (при заполнении ячейки 6 В).</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Строки 200.00.006 I, 200.00.006 II и 200.00.006 III предназначены для отражения суммы социального налога за каждый месяц отчетного квартала.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200.00.006 IV предназначена для отражения итоговой общей суммы налога за отчетный квартал, определяемой как сумма строк 200.00.006 I, 200.00.006 II и 200.00.006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7) строки 200.00.007 I, 200.00.007 II и 200.00.007 III предназначены для отражения суммы социального налога, подлежащего уплате в бюджет, исчисленного в соответствии с пунктом 2 статьи 485 Налогового кодекса, уменьшенного на сумму социальных отчислений и уплачиваемого налогоплательщиком за себя и за работников за каждый месяц отчетного квартала.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200.00.007 IV предназначена для отражения итоговой суммы налога за отчетный квартал, определяемой как сумма строк 200.00.007 I, 200.00.007 II и 200.00.007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8) строки 200.00.008 I, 200.00.008 II и 200.00.008 III предназначены для отражения суммы социальных отчислений в каждом месяце отчетного квартала, определяемых в соответствии с Социальным кодексом,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социальных отчислений в составе единого платежа и суммы социальных отчислений, подлежащих перечислению за структурные подразделения, не признанные налоговыми агентами,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200.00.008 IV предназначена для отражения итоговой суммы социальных отчислений за отчетный квартал, определяемой как сумма строк 200.00.008 I, 200.00.008 II и 200.00.008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9) строки 200.00.009 I, 200.00.009 II и 200.00.009 III предназначены для отражения суммы социальных отчислений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200.00.009 IV предназначена для отражения итоговой суммы социальных отчислений за отчетный квартал, определяемой как сумма строк 200.00.009 I, 200.00.009 II и 200.00.009 III;</w:t>
      </w:r>
      <w:r w:rsidRPr="00D5266A">
        <w:rPr>
          <w:rFonts w:ascii="Helvetica" w:hAnsi="Helvetica" w:cs="Helvetica"/>
          <w:color w:val="0A0A0A"/>
          <w:sz w:val="24"/>
          <w:szCs w:val="24"/>
        </w:rPr>
        <w:br/>
      </w:r>
      <w:r w:rsidRPr="00D5266A">
        <w:rPr>
          <w:rFonts w:ascii="Helvetica" w:hAnsi="Helvetica" w:cs="Helvetica"/>
          <w:color w:val="0A0A0A"/>
          <w:sz w:val="24"/>
          <w:szCs w:val="24"/>
        </w:rPr>
        <w:lastRenderedPageBreak/>
        <w:br/>
      </w:r>
      <w:r w:rsidRPr="00D5266A">
        <w:rPr>
          <w:rFonts w:ascii="Helvetica" w:hAnsi="Helvetica" w:cs="Helvetica"/>
          <w:color w:val="0A0A0A"/>
          <w:sz w:val="24"/>
          <w:szCs w:val="24"/>
          <w:shd w:val="clear" w:color="auto" w:fill="F7F7F7"/>
        </w:rPr>
        <w:t>10) строки 200.00.010 I, 200.00.010 II и 200.00.010 III предназначены для отражения суммы отчислений на ОСМС в соответствии с Законом об обязательном социальном медицинском страховании, за исключением сумм отчислений на ОСМС в составе единого платежа и сумм отчислений на ОСМС, подлежащих уплате за структурные подразделения, не признанные налоговыми агентами,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200.00.010 IV предназначена для отражения итоговой суммы отчислений на ОСМС за отчетный квартал, определяемой как сумма строк 200.00.010 I, 200.00.010 II и 200.00.010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11) строки 200.00.011 I, 200.00.011 II и 200.00.011 III предназначены для отражения суммы взносов на ОСМС с доходов работников в соответствии с Законом об обязательном социальном медицинском страховании, за исключением сумм взносов на ОСМС в составе единого платежа и сумм взносов на ОСМС, подлежащих уплате за структурные подразделения, не признанные налоговыми агентами, которые подлежат отражению в приложении 200.03 к данной форме,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200.00.011 IV предназначена для отражения итоговой суммы взносов на ОСМС за отчетный квартал, определяемой как сумма строк 200.00.011 I, 200.00.011 II и 200.00.011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12) строки 200.00.012 I, 200.00.012 II и 200.00.012 III предназначены для отражения суммы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200.00.012 IV предназначена для отражения итоговой суммы взносов на ОСМС в свою пользу за отчетный квартал, определяемой как сумма строк 200.00.012 I, 200.00.012 II и 200.00.012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 xml:space="preserve">13) строки 200.00.013 I, 200.00.013 II и 200.00.013 III предназначены для отражения 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пенсионных взносов работодателя,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Социальным кодексом, за исключением сумм обязательных пенсионных взносов работодателя в составе единого платежа и сумм обязательных пенсионных взносов работодателя, подлежащих уплате за структурные подразделения, не </w:t>
      </w:r>
      <w:r w:rsidRPr="00D5266A">
        <w:rPr>
          <w:rFonts w:ascii="Helvetica" w:hAnsi="Helvetica" w:cs="Helvetica"/>
          <w:color w:val="0A0A0A"/>
          <w:sz w:val="24"/>
          <w:szCs w:val="24"/>
          <w:shd w:val="clear" w:color="auto" w:fill="F7F7F7"/>
        </w:rPr>
        <w:lastRenderedPageBreak/>
        <w:t>признанные налоговыми агентами, которые подлежат отражению в приложении 200.03 к данной форме.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200.00.013 IV предназначена для отражения итоговой суммы обязательных пенсионных взносов работодателя за отчетный квартал, определяемой как сумма строк 200.00.013 I, 200.00.013 II и 200.00.013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14) строки 200.00.014 I, 200.00.014 II и 200.00.014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776-4 Налоговым кодексом, Социальным кодексом, за исключением сумм обязательных профессиональных пенсионных взносов, и Законом об обязательном социальном медицинском страховании.</w:t>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200.00.014 IV предназначена для отражения итоговой суммы единого платежа за отчетный квартал, определяемой как сумма строк 200.00.014 I, 200.00.014 II и 200.00.014 III.»</w:t>
      </w:r>
    </w:p>
    <w:p w14:paraId="3E347D9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16. В разделе «Ответственность налогоплательщика»:</w:t>
      </w:r>
    </w:p>
    <w:p w14:paraId="7EC1E16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в поле «Фамилия, имя, отчество (при его наличии) Руководителя/Фамилия, имя, отчество (при его наличии) Вкладчика» указываются фамилия, имя, отчество (при его наличии) руководителя в соответствии с учредительными документами/вкладчика, в соответствии с документами, удостоверяющими личность.</w:t>
      </w:r>
    </w:p>
    <w:p w14:paraId="6EF1931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декларация представляется индивидуальным предпринимателем, лицом, занимающимся частной практикой указываются его фамилия, имя, отчество (при его наличии) в соответствии с документами, удостоверяющими личность.</w:t>
      </w:r>
    </w:p>
    <w:p w14:paraId="44A5F09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2D0BB31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дата подачи декларации – текущая дата представления декларации в орган государственных доходов;</w:t>
      </w:r>
    </w:p>
    <w:p w14:paraId="34E231D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код органа государственных доходов – бенефициара по ИПН и социальному налогу – код органа государственных доходов по месту регистрационного учета налогового агента;</w:t>
      </w:r>
    </w:p>
    <w:p w14:paraId="649F506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код органа государственных доходов – бенефициара по социальным платежам – код органа государственных доходов по месту нахождения (жительства) налогового агента, агента, вкладчика (плательщика);</w:t>
      </w:r>
    </w:p>
    <w:p w14:paraId="4EDBB7C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в поле «Фамилия, имя, отчество (при его наличии) должностного лица, принявшего Декларацию» – фамилия, имя, отчество (при его наличии) работника органа государственных доходов, принявшего декларацию, а также его подпись;</w:t>
      </w:r>
    </w:p>
    <w:p w14:paraId="5E26815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6) дата приема декларации – дата представления декларации в соответствии с пунктом 2 статьи 209 Налогового кодекса;</w:t>
      </w:r>
    </w:p>
    <w:p w14:paraId="063CF95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входящий номер документа – регистрационный номер декларации, присваиваемый органом государственных доходов;</w:t>
      </w:r>
    </w:p>
    <w:p w14:paraId="6C3564E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дата почтового штемпеля – дата почтового штемпеля, проставленного почтовой или иной организацией связи.</w:t>
      </w:r>
    </w:p>
    <w:p w14:paraId="576DC36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Подпункты 5), 6), 7) и 8) настоящего пункта заполняются работником органа государственных доходов, принявшим декларацию на бумажном носителе.</w:t>
      </w:r>
    </w:p>
    <w:p w14:paraId="28EDD7BA"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3. Пояснение по заполнению формы 200.01 – Исчисление индивидуального подоходного налога и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w:t>
      </w:r>
    </w:p>
    <w:p w14:paraId="1EBFB41C"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Данное приложение предназначено для отражения суммы доходов, начисленных налоговым агентом физическим лицам (работникам и физическим лицам по договорам гражданско-правового характера), в том числе иностранцам и лицам без гражданства, а также по отражению сумм доходов для исчисления ИПН, социального налога, сумм социальных платежей, подлежащих уплате за структурные подразделения, не признанные налоговыми агентами, которые подлежат отражению в приложении 200.03 к данной форме, за исключением суммы доходов работников, применяемых для исчисления единого платежа.</w:t>
      </w:r>
    </w:p>
    <w:p w14:paraId="279A348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17. В разделе «Индивидуальный подоходный налог»:</w:t>
      </w:r>
    </w:p>
    <w:p w14:paraId="61DE289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строки 200.01.001 I, 200.01.001 II и 200.01.001 III предназначены для отражения суммы доходов, начисленных налоговым агентом физическим лицам, в том числе иностранцам и лицам без гражданства, за каждый месяц отчетного квартала,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налоговым агентом в соответствии с законодательством Республики Казахстан договорам гражданско-правового характера, в том числе доходы, отраженные в статье 341 Налогового кодекса.</w:t>
      </w:r>
    </w:p>
    <w:p w14:paraId="58551511"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200.01.001 В, 200.01.001 С, 200.01.001 D и 200.01.001 Е.</w:t>
      </w:r>
    </w:p>
    <w:p w14:paraId="0DAF4CA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200.01.001 IV включает, в том числе, итоговую сумму графы P формы 200.02.</w:t>
      </w:r>
    </w:p>
    <w:p w14:paraId="191D392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200.01.001 А предназначена для отражения суммы доходов, начисленных работникам за отчетный квартал.</w:t>
      </w:r>
    </w:p>
    <w:p w14:paraId="1127534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200.01.001 В предназначена для отражения суммы начисленных доходов в виде дивидендов за отчетный квартал.</w:t>
      </w:r>
    </w:p>
    <w:p w14:paraId="2CB1D1A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Строка 200.01.001 С предназначена для отражения суммы начисленных доходов в виде выигрышей за отчетный квартал.</w:t>
      </w:r>
    </w:p>
    <w:p w14:paraId="3CC418B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200.01.001 D предназначена для отражения суммы начисленных доходов в виде вознаграждения за отчетный квартал.</w:t>
      </w:r>
    </w:p>
    <w:p w14:paraId="49F49DF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200.01.001 Е предназначена для отражения суммы начисленных доходов по договорам гражданско-правового характера предметом которых является оказание услуг, выполнение работ за отчетный квартал;</w:t>
      </w:r>
    </w:p>
    <w:p w14:paraId="485CC7C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200.01.002 предназначена для отражения суммы доходов, освобождаемых от налогообложения согласно пунктам 6 и 7 статьи 6 Конституционного закона.</w:t>
      </w:r>
    </w:p>
    <w:p w14:paraId="2A68D5D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200.01.002 включает в себя в том числе, сумму доходов, отраженных в графе P в форме 200.02, по иностранцам и лицам без гражданства, являющимися работниками участника или органа МФЦА, освобождаемых от налогообложения, согласно пунктам 6 и 7 статьи 6 Конституционного закона;</w:t>
      </w:r>
    </w:p>
    <w:p w14:paraId="12E15E7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строки 200.01.003 I, 200.01.003 II и 200.01.0003III предназначены для отражения суммы ИПН, исчисленного с доходов, начисленных физическим лицам в каждом месяце отчетного квартала.</w:t>
      </w:r>
    </w:p>
    <w:p w14:paraId="6AF1091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200.01.003 IV предназначена для отражения итоговой суммы налога за отчетный квартал, определяемой как сумма строк 200.01.003 I, 200.01.003 II и 200.01.003 III;</w:t>
      </w:r>
    </w:p>
    <w:p w14:paraId="3BF7853D" w14:textId="057F272F" w:rsidR="0071798C" w:rsidRPr="00D5266A" w:rsidRDefault="0071798C" w:rsidP="00D5266A">
      <w:pPr>
        <w:rPr>
          <w:sz w:val="24"/>
          <w:szCs w:val="24"/>
        </w:rPr>
      </w:pPr>
      <w:r w:rsidRPr="00D5266A">
        <w:rPr>
          <w:rFonts w:ascii="Helvetica" w:hAnsi="Helvetica" w:cs="Helvetica"/>
          <w:color w:val="0A0A0A"/>
          <w:sz w:val="24"/>
          <w:szCs w:val="24"/>
        </w:rPr>
        <w:t>4)</w:t>
      </w:r>
      <w:r w:rsidR="00D5266A" w:rsidRPr="00D5266A">
        <w:rPr>
          <w:rFonts w:ascii="Helvetica" w:hAnsi="Helvetica" w:cs="Helvetica"/>
          <w:color w:val="0A0A0A"/>
          <w:sz w:val="24"/>
          <w:szCs w:val="24"/>
          <w:shd w:val="clear" w:color="auto" w:fill="F7F7F7"/>
        </w:rPr>
        <w:t xml:space="preserve"> строка 200.01.004 предназначена для отражения суммы задолженности по доходам, начисленным, но не выплаченным налоговым агентом физическим лицам на конец отчетного квартала, без учета обязательных пенсионных взносов, обязательных профессиональных пенсионных взносов, обязательных пенсионных взносов работодателя, взносов на ОСМС и ИПН;</w:t>
      </w:r>
    </w:p>
    <w:p w14:paraId="21BF37A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строка 200.01.005 предназначена для отражения суммы ИПН по доходам, начисленным, но не выплаченным на начало отчетного квартала;</w:t>
      </w:r>
    </w:p>
    <w:p w14:paraId="3FC5AD0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строка 200.01.006 предназначена для отражения суммы ИПН по доходам, начисленным, но не выплаченным на конец отчетного квартала;</w:t>
      </w:r>
    </w:p>
    <w:p w14:paraId="1D8B85F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строки 200.01.007 I, 200.01.007 II и 200.01.007 III предназначены для отражения суммы доходов, выплаченных физическим лицам в каждом месяце отчетного квартала.</w:t>
      </w:r>
    </w:p>
    <w:p w14:paraId="0CA0075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200.01.007 IV предназначена для отражения итоговой суммы доходов за отчетный квартал, определяемой как сумма строк 200.01.007 I, 200.01.007 II и 200.01.007 III;</w:t>
      </w:r>
    </w:p>
    <w:p w14:paraId="7246529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строки 200.01.008 I, 200.01.008 II и 200.01.008 III предназначены для отражения суммы облагаемого дохода в каждом месяце отчетного квартала.</w:t>
      </w:r>
    </w:p>
    <w:p w14:paraId="0EDA8D3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200.01.008 IV предназначена для отражения итоговой суммы доходов за отчетный квартал, определяемой как сумма строк 200.01.008 I, 200.01.008 II и 200.01.008 III.</w:t>
      </w:r>
    </w:p>
    <w:p w14:paraId="71678F3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18. В разделе «Обязательные пенсионные взносы, обязательные профессиональные пенсионные взносы, обязательные пенсионные взносы работодателя»:</w:t>
      </w:r>
    </w:p>
    <w:p w14:paraId="103F794A"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1) строки 200.01.009 I, 200.01.009 II и 200.01.009 III предназначены для отражения суммы доходов, начисленных физическим лицам, с которых удерживаются (начисляются) обязательные пенсионные взносы за каждый месяц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200.01.009 IV предназначена для отражения итоговой суммы доходов за отчетный квартал, определяемой как сумма строк 200.01.009 I, 200.01.009 II и 200.01.009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2) строки 200.01.010 I, 200.01.010 II и 200.01.010 III предназначены для отражения суммы доходов, начисленных физическим лицам, с которых исчисляются (начисляются) обязательные профессиональные пенсионные взносы за каждый месяц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200.01.010 IV предназначена для отражения итоговой суммы доходов за отчетный квартал, определяемой как сумма строк 200.01.010 I, 200.01.010 II и 200.01.010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3) строки 200.01.011 I, 200.01.011 II и 200.01.011 III предназначены для отражения суммы доходов, начисленных физическим лицам, с которых исчисляются (начисляются) обязательные пенсионные взносы работодателя за каждый месяц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200.01.011 IV предназначена для отражения итоговой суммы доходов за отчетный квартал, определяемой как сумма строк 200.01.011 I, 200.00.011 II и 200.00.011 III;</w:t>
      </w:r>
    </w:p>
    <w:p w14:paraId="4E02B13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строки 200.01.012 I, 200.01.012 II и 200.01.012 III предназначены для отражения суммы заявляемого дохода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5855A31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200.01.012 IV предназначена для отражения итоговой суммы заявляемого дохода за отчетный квартал, определяемой как сумма строк 200.01.012 I, 200.01.012 II и 200.01.012 III.</w:t>
      </w:r>
    </w:p>
    <w:p w14:paraId="685E527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19. Раздел «Численность и расходы по оплате труда работников-лиц с инвалидностью» заполняется специализированными организациями, в которых работают лица с инвалидностью с нарушениями опорно-двигательного аппарата, по потере слуха, речи, зрения, соответствующими условиям пункта 3 статьи 290 Налогового кодекса.</w:t>
      </w:r>
    </w:p>
    <w:p w14:paraId="058F7AE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В данном разделе:</w:t>
      </w:r>
    </w:p>
    <w:p w14:paraId="6C6A9C3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 строки 200.01.013 I, 200.01.013 II и 200.01.013 III предназначены для отражения численности работников-лиц с инвалидностью за каждый месяц отчетного квартала;</w:t>
      </w:r>
    </w:p>
    <w:p w14:paraId="50F737C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строки 200.01.014 I, 200.01.014 II и 200.01.014 III предназначены для отражения удельного веса численности работников-лиц с инвалидностью в общей численности работников за каждый месяц отчетного квартала;</w:t>
      </w:r>
    </w:p>
    <w:p w14:paraId="3723B2D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строки 200.01.015 I, 200.01.015 II и 200.01.015 III предназначены для отражения удельного веса расходов по оплате труда работников-лиц с инвалидностью в общих расходах по оплате труда за каждый месяц отчетного квартала.</w:t>
      </w:r>
    </w:p>
    <w:p w14:paraId="6F9000D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20. Раздел «Социальный налог с применением ставок, установленных пунктом 1 статьи 485 Налогового кодекса» заполняется юридическими лицами-резидентами Республики Казахстан, а также нерезидентами, осуществляющими деятельность в Республике Казахстан через постоянное учреждение в соответствии со статьей 220 Налогового кодекса, являющимися налоговыми агентами.</w:t>
      </w:r>
    </w:p>
    <w:p w14:paraId="027D678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В данном разделе:</w:t>
      </w:r>
    </w:p>
    <w:p w14:paraId="1FF8EEF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строки 200.01.016 I, 200.01.016 II и 200.01.016 III предназначены для отражения доходов, являющихся объектом обложения социальным налогом за каждый месяц отчетного квартала.</w:t>
      </w:r>
    </w:p>
    <w:p w14:paraId="2BF48CE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Индивидуальные предприниматели (за исключением применяющих специальные налоговые режимы для крестьянских или фермерских хозяйств, на основе упрощенной декларации и патента), лица, занимающиеся частной практикой, указывают численность работников, включая, в том числе себя.</w:t>
      </w:r>
    </w:p>
    <w:p w14:paraId="5FCDEDC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200.01.016 IV предназначена для отражения итоговой суммы доходов за отчетный квартал, определяемой как сумма строк 200.01.016 I, 200.01.016 II и 200.01.016 III.</w:t>
      </w:r>
    </w:p>
    <w:p w14:paraId="7A27DB2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21. В разделе «Социальные отчисления»:</w:t>
      </w:r>
    </w:p>
    <w:p w14:paraId="1D815155"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1) строки 200.01.017 I, 200.01.017 II и 200.01.017 III предназначены для отражения расходов работодателя, выплачиваемых физическим лицам в виде доходов, с включением в расходы работодателя выплачиваемого в виде доходов физическим лицам денежного содержания военнослужащих, сотрудников специальных государственных и правоохранительных органов в каждом месяце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200.01.017 IV предназначена для отражения итоговой суммы доходов физических лиц за отчетный квартал, определяемой как сумма строк 200.01.017 I, 200.01.017 II и 200.01.017 III;</w:t>
      </w:r>
    </w:p>
    <w:p w14:paraId="27A0C0E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2) строки 200.01.018 I, 200.01.018 II и 200.01.018 III предназначены для отражения суммы дохода, применяемого для исчисления социальных отчислений в свою пользу в каждом месяце отчетного квартала индивидуальными предпринимателями (за исключением применяющих специальные налоговые </w:t>
      </w:r>
      <w:r w:rsidRPr="00D5266A">
        <w:rPr>
          <w:rFonts w:ascii="Helvetica" w:hAnsi="Helvetica" w:cs="Helvetica"/>
          <w:color w:val="0A0A0A"/>
        </w:rPr>
        <w:lastRenderedPageBreak/>
        <w:t>режимы для крестьянских или фермерских хозяйств, на основе упрощенной декларации и патента), лицами, занимающимися частной практикой.</w:t>
      </w:r>
    </w:p>
    <w:p w14:paraId="5D14441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200.01.018 IV предназначена для отражения итоговой суммы дохода за отчетный квартал, определяемой как сумма строк 200.01.018 I, 200.01.018 II и 200.01.018 III.</w:t>
      </w:r>
    </w:p>
    <w:p w14:paraId="6D8503B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22. В разделе «Отчисления и (или) взносы на обязательное социальное медицинское страхование»:</w:t>
      </w:r>
    </w:p>
    <w:p w14:paraId="22EC69C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строки 200.01.019 I, 200.01.019 II и 200.01.019 III предназначены для отражения суммы дохода, применяемого для исчисления отчислений на ОСМС в соответствии с Законом об обязательном социальном медицинском страховании в каждом месяце отчетного квартала.</w:t>
      </w:r>
    </w:p>
    <w:p w14:paraId="62A20F1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200.01.019 IV предназначена для отражения итоговой суммы дохода за отчетный квартал, определяемой как сумма строк 200.01.019 I, 200.01.019 II и 200.01.019 III;</w:t>
      </w:r>
    </w:p>
    <w:p w14:paraId="7E28E5F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строки 200.01.020 I, 200.01.020 II и 200.01.020 III предназначены для отражения суммы дохода работника, а также физических лиц, получающих доходы по договорам гражданско-правового характера, где исчисление (удержание) и перечисление по таким доходам взносов осуществляются налоговыми агентами, с которыми заключены такие договоры в соответствии с Законом об обязательном социальном медицинском страховании в каждом месяце отчетного квартала.</w:t>
      </w:r>
    </w:p>
    <w:p w14:paraId="020B89C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200.01.020 IV предназначена для отражения итоговой суммы дохода за отчетный квартал, определяемой как сумма строк 200.01.020 I, 200.01.020 II и 200.01.020 III;</w:t>
      </w:r>
    </w:p>
    <w:p w14:paraId="538B9946"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3) строки 200.01.021 I, 200.01.021 II и 200.01.021 III предназначены для отражения суммы доходов, применяемых для исчисления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200.01.021 IV предназначена для отражения итоговой суммы доходов за отчетный квартал, определяемой как сумма строк 200.01.021 I, 200.01.021 II и 200.01.021 III.</w:t>
      </w:r>
    </w:p>
    <w:p w14:paraId="7A7622B1"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4. Пояснение по заполнению формы 200.02 – Исчисление ИПН с доходов иностранцев и лиц без гражданства</w:t>
      </w:r>
    </w:p>
    <w:p w14:paraId="5CF852B0"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 xml:space="preserve">Данная форма предназначена для отражения налоговым агентом сумм доходов, начисленных, в том числе работникам – иностранцам и лицам без гражданства, сумм, исчисленных налоговым агентом сумм ИПН с доходов иностранцев и лиц без гражданства, за исключением плательщиков единого платежа с доходов работников иностранцев и лиц без гражданства, признанных в целях налогообложения резидентами Республики Казахстан, а также отражению </w:t>
      </w:r>
      <w:r w:rsidRPr="00D5266A">
        <w:rPr>
          <w:rFonts w:ascii="Helvetica" w:hAnsi="Helvetica" w:cs="Helvetica"/>
          <w:color w:val="0A0A0A"/>
          <w:sz w:val="24"/>
          <w:szCs w:val="24"/>
          <w:shd w:val="clear" w:color="auto" w:fill="F7F7F7"/>
        </w:rPr>
        <w:lastRenderedPageBreak/>
        <w:t>исчисленных сумм ИПН, социального налога, сумм социальных платежей с таких доходов,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0F4F283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Форма составляется по итогам квартала и представляется вместе с декларацией, а также при представлении декларации с отметкой в ячейке 4 вида декларации «Ликвидационная».</w:t>
      </w:r>
    </w:p>
    <w:p w14:paraId="6AC7637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23. В разделе «Исчисление ИПН с доходов иностранцев и лиц без гражданства»:</w:t>
      </w:r>
    </w:p>
    <w:p w14:paraId="7E3F5B4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в графе А проставляется очередной порядковый номер;</w:t>
      </w:r>
    </w:p>
    <w:p w14:paraId="5F9E135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в графе B указываются фамилия, имя, отчество (при его наличии) иностранцев и лиц без гражданства, которым были начислены, выплачены доходы в отчетном квартале.</w:t>
      </w:r>
    </w:p>
    <w:p w14:paraId="4E594C1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этом, в графе В указывается полное фамилия, имя, отчество иностранцев и лиц без гражданства строго согласно паспортным данным и/или документа удостоверяющего личность;</w:t>
      </w:r>
    </w:p>
    <w:p w14:paraId="52C8295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в графе C указываются ИИН иностранцев и лиц без гражданства;</w:t>
      </w:r>
    </w:p>
    <w:p w14:paraId="63E7413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в графе D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39BE3E9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Для лиц без гражданства в графе D указывается код «00»;</w:t>
      </w:r>
    </w:p>
    <w:p w14:paraId="5274E02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в графе E указывается признак резидентства «1» – резидент, «2» – нерезидент;</w:t>
      </w:r>
    </w:p>
    <w:p w14:paraId="6F0D00D1"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6) в графе F указывается код страны резидентства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KZ – Республика Казахстан, DE – Федеративная Республика Германия, GB – Соединенное Королевство Великобритании и Северной Ирландии. Код оффшорных стран указан в пункте 38 Правил;</w:t>
      </w:r>
    </w:p>
    <w:p w14:paraId="3E6FF89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в графе G указывается номер налоговой регистрации иностранцев и лиц без гражданства в стране резидентства.</w:t>
      </w:r>
    </w:p>
    <w:p w14:paraId="68A08BB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Данная графа заполняется при наличии у иностранцев и лиц без гражданства номера налоговой регистрации;</w:t>
      </w:r>
    </w:p>
    <w:p w14:paraId="721D345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8) в графе H указываются код вида документа, удостоверяющего личность иностранцев и лиц без гражданства, а также номер и дата выдачи данного документа.</w:t>
      </w:r>
    </w:p>
    <w:p w14:paraId="656EACC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заполнении декларации используется следующая кодировка видов документов, удостоверяющих личность иностранцев и лиц без гражданства:</w:t>
      </w:r>
    </w:p>
    <w:p w14:paraId="61E8063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01 – паспорт иностранного гражданина;</w:t>
      </w:r>
    </w:p>
    <w:p w14:paraId="1D4372B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02 – удостоверение личности иностранного гражданина;</w:t>
      </w:r>
    </w:p>
    <w:p w14:paraId="3F942D7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03 – паспорт моряка;</w:t>
      </w:r>
    </w:p>
    <w:p w14:paraId="32A22D4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04 – вид на жительство;</w:t>
      </w:r>
    </w:p>
    <w:p w14:paraId="12AF522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05 – другие документы;</w:t>
      </w:r>
    </w:p>
    <w:p w14:paraId="6AEFBB2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9) в графе I указывается код вида дохода, выплачиваемого иностранцу или лицу без гражданства, согласно пункту 34 настоящих Правил;</w:t>
      </w:r>
    </w:p>
    <w:p w14:paraId="09EC5D6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 в графе J указывается код вида международного договора согласно пункту 36 настоящих Правил, в соответствии с которым в отношении доходов, указанных в графе P, предусмотрен порядок налогообложения, отличный от порядка, установленного Налоговым кодексом.</w:t>
      </w:r>
    </w:p>
    <w:p w14:paraId="4BC7165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Графа заполняется в случае, если налоговый агент применяет положения межгосударственного или межправительственного договора;</w:t>
      </w:r>
    </w:p>
    <w:p w14:paraId="2FB1327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 в графе K указывается наименование международного договора, подлежащей заполнению, если налоговый агент указал в графе J код вида международного договора 23 «Иные международные договоры (соглашения, конвенции)».</w:t>
      </w:r>
    </w:p>
    <w:p w14:paraId="3BE8F84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Графа заполняется, если налоговый агент применяет положения межгосударственного или межправительственного договора;</w:t>
      </w:r>
    </w:p>
    <w:p w14:paraId="7389DD3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 в графе L указывается код страны, с которой заключен международный договор.</w:t>
      </w:r>
    </w:p>
    <w:p w14:paraId="0AF75E0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Код страны указывается в соответствии с двузначной буквенной кодировкой, установленной в решении КТС № 378.</w:t>
      </w:r>
    </w:p>
    <w:p w14:paraId="4EDEA8B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Графа заполняется, если налоговый агент применяет положения межгосударственного или межправительственного договора;</w:t>
      </w:r>
    </w:p>
    <w:p w14:paraId="4EFBC94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 в графе M отмечается, если иностранец или лицо без гражданства, в соответствии со статьей 6 Конституционного закона является работником участника или органа МФЦА;</w:t>
      </w:r>
    </w:p>
    <w:p w14:paraId="2C657D3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14) в графе N отмечается, если иностранец или лицо без гражданства, осуществляет деятельность в структурном подразделении юридического лица, не признанного налоговым агентом. Подлежит заполнению если заполнено приложение 200.03 за структурное подразделение;</w:t>
      </w:r>
    </w:p>
    <w:p w14:paraId="4C825BD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15) в графе O указывается ставка подоходного налога у источника выплаты, установленная международным договором или статьями 646 и 320 Налогового кодекса;</w:t>
      </w:r>
    </w:p>
    <w:p w14:paraId="4009EFF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16) в графе P указываются начисленные доходы иностранцам и лицам без гражданства,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работодателем в соответствии с законодательством Республики Казахстан по договорам гражданско-правового характера, в том числе доходы, отраженные в статьях 341 и 654 Налогового кодекса;</w:t>
      </w:r>
    </w:p>
    <w:p w14:paraId="5846CA2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17) в графе Q указываются доходы иностранцев и лиц без гражданства, не подлежащие налогообложению в соответствии пунктом 1 статьи 341 и 654 Налогового кодекса.</w:t>
      </w:r>
    </w:p>
    <w:p w14:paraId="2EC6906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129E0BB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18) в графе R указывается сумма доходов, не подлежащих налогообложения, в соответствии с пунктом 1 статьи 341 Налогового кодекса.</w:t>
      </w:r>
    </w:p>
    <w:p w14:paraId="54345EF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782B403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19) в графе S указывается сумма доходов, не подлежащих налогообложения, в соответствии со статьей 654 Налогового кодекса.</w:t>
      </w:r>
    </w:p>
    <w:p w14:paraId="2E4BFAD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5146B1BF"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20) в графе T указываются суммы обязательных пенсионных взносов, исчисленные с начисленных доходов иностранцев и лиц без гражданства, в соответствии с Социальным кодексом и относимые на вычеты в соответствии с подпунктом 1) пункта 1 статьи 342 Налогового кодекса;</w:t>
      </w:r>
    </w:p>
    <w:p w14:paraId="45077CB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21) в графе U указывается сумма взносов на обязательное социальное медицинское страхование, исчисленных с начисленных доходов;</w:t>
      </w:r>
    </w:p>
    <w:p w14:paraId="4B4825D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22) в графе V указываются стандартные налоговые вычеты:</w:t>
      </w:r>
    </w:p>
    <w:p w14:paraId="29DF724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w:t>
      </w:r>
      <w:r w:rsidRPr="00D5266A">
        <w:rPr>
          <w:rFonts w:ascii="Helvetica" w:hAnsi="Helvetica" w:cs="Helvetica"/>
          <w:color w:val="0A0A0A"/>
        </w:rPr>
        <w:lastRenderedPageBreak/>
        <w:t>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7C30063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 882-кратный размер месячного расчетного показателя за календарный год в соответствии с подпунктом 2) пункта 1 статьи 346 Налогового кодекса;</w:t>
      </w:r>
    </w:p>
    <w:p w14:paraId="596ACEC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 882-кратный размер месячного расчетного показателя за календарный год в соответствии с подпунктом 3) пункта 1 статьи 346 Налогового кодекса.</w:t>
      </w:r>
    </w:p>
    <w:p w14:paraId="718AC89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иностранца и лица без гражданства, применено несколько видов стандартных налоговых вычетов, каждый вид налогового вычета подлежит заполнению отдельной строкой;</w:t>
      </w:r>
    </w:p>
    <w:p w14:paraId="743EE43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23) в графе W указывается сумма стандартных налоговых вычетов.</w:t>
      </w:r>
    </w:p>
    <w:p w14:paraId="2BC6AA7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7F85600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24) в графе X указываются прочие налоговые вычеты:</w:t>
      </w:r>
    </w:p>
    <w:p w14:paraId="3AC1E87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 налоговый вычет по добровольным пенсионным взносам;</w:t>
      </w:r>
    </w:p>
    <w:p w14:paraId="3C00549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 налоговый вычет на медицину;</w:t>
      </w:r>
    </w:p>
    <w:p w14:paraId="73B99DC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 налоговый вычет по вознаграждениям.</w:t>
      </w:r>
    </w:p>
    <w:p w14:paraId="32E80B8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иностранца и лица без гражданства применено несколько видов прочих налоговых вычетов, каждый вид налогового вычета подлежит заполнению отдельной строкой;</w:t>
      </w:r>
    </w:p>
    <w:p w14:paraId="0B101C1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25) в графе Y указывается сумму прочих налоговых вычетов.</w:t>
      </w:r>
    </w:p>
    <w:p w14:paraId="04120EC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иностранца или лица без гражданства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43CD7DC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26) в графе Z указываются суммы ИПН, исчисленного с доходов иностранцев и лиц без гражданства за отчетный квартал;</w:t>
      </w:r>
    </w:p>
    <w:p w14:paraId="3D5FD9F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27) в графе AA указывается сумма задолженности по начисленным, но невыплаченным доходам физических лиц за отчетный квартал;</w:t>
      </w:r>
    </w:p>
    <w:p w14:paraId="2139D74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28) в графе АB указывается сумма выплаченных иностранцам и лицам без гражданства доходов;</w:t>
      </w:r>
    </w:p>
    <w:p w14:paraId="4304DD5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29) в графе АC указывается сумма индивидуального подоходного налога, подлежащего уплате в бюджет;</w:t>
      </w:r>
    </w:p>
    <w:p w14:paraId="2CAC39E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30) в графе AD указывается сумма обязательных пенсионных взносов, подлежащих перечислению;</w:t>
      </w:r>
    </w:p>
    <w:p w14:paraId="66374BC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31) в графе AE указывается сумма взносов на ОСМС, подлежащих перечислению;</w:t>
      </w:r>
    </w:p>
    <w:p w14:paraId="726410B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32) в графе AF указываются суммы доходов, не облагаемые социальным налогом, в соответствии с подпунктом 4) и 5) пункта 3 статьи 484 Налогового кодекса;</w:t>
      </w:r>
    </w:p>
    <w:p w14:paraId="03E18E5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33) в графе AG указываются доходы, облагаемые социальным налогом;</w:t>
      </w:r>
    </w:p>
    <w:p w14:paraId="7F1DE42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34) в графе AH указывается сумма исчисленного с начисленных доходов социального налога;</w:t>
      </w:r>
    </w:p>
    <w:p w14:paraId="38C7DDB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35) в графе AI указывается сумма социальных отчислений, начисленных в соответствии с законодательством Республики Казахстан;</w:t>
      </w:r>
    </w:p>
    <w:p w14:paraId="66911B5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36) в графе AJ указывается сумма социального налога, подлежащего уплате в бюджет;</w:t>
      </w:r>
    </w:p>
    <w:p w14:paraId="67D256A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37) в графе АK указывается сумма обязательных профессиональных пенсионных взносов, подлежащих уплате;</w:t>
      </w:r>
    </w:p>
    <w:p w14:paraId="0B534F8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38) в графе АL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161E1E5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39) в графе АM указывается сумма обязательных пенсионных взносов работодателя, подлежащих уплате.</w:t>
      </w:r>
    </w:p>
    <w:p w14:paraId="1C7DFF71"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5. Пояснение по заполнению формы 200.03 – Исчисление суммы индивидуального подоходного налога и социального налога по структурному подразделению</w:t>
      </w:r>
    </w:p>
    <w:p w14:paraId="3324E62A"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Данная форма предназначена для исчисления юридическим лицом-налоговым агентом суммы ИПН, социального налога, обязательных пенсионных взносов, обязательных профессиональных пенсионных взносов, обязательных пенсионных взносов работодателя, социальных отчислений, отчислений и (или) взносов на ОСМС, за исключением указанных сумм ИПН и социальных платежей в составе единого платежа, подлежащих уплате по филиалу/представительству, не признанных налоговыми агентами по ИПН и самостоятельными плательщиками по социальному налогу, с доходов, начисленных физическим лицам (работникам и физическим лицам по договорам гражданско-правового характера), в том числе иностранцам и лицам без гражданства.</w:t>
      </w:r>
    </w:p>
    <w:p w14:paraId="009CB82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24. Форма составляется юридическим лицом по каждому филиалу/представительству в соответствии со статьями 353, 358, 486 и 489 Налогового кодекса.</w:t>
      </w:r>
    </w:p>
    <w:p w14:paraId="1751982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25. В разделе «Общая информация о налогоплательщике (налоговом агенте, плательщики единого платежа, агенте или плательщике социальных платежей)»:</w:t>
      </w:r>
    </w:p>
    <w:p w14:paraId="304787F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БИН налогового агента.</w:t>
      </w:r>
    </w:p>
    <w:p w14:paraId="43379B4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исполнении налогового обязательства доверительным управляющим в строке указывается БИН доверительного управляющего;</w:t>
      </w:r>
    </w:p>
    <w:p w14:paraId="474CF01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наименование налогового агента – наименование юридического лица в соответствии с учредительными документами.</w:t>
      </w:r>
    </w:p>
    <w:p w14:paraId="6DA4475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w:t>
      </w:r>
    </w:p>
    <w:p w14:paraId="52511D3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код органа государственных доходов по месту регистрационного учета налогового агента – код органа государственных доходов по месту регистрационного учета юридического лица;</w:t>
      </w:r>
    </w:p>
    <w:p w14:paraId="0CDB57C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налоговый период, за который представляется налоговая отчетность (квартал, год) – квартал, в который входят отчетные налоговые периоды (указывается арабскими цифрами);</w:t>
      </w:r>
    </w:p>
    <w:p w14:paraId="55C3EE2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вид налоговой отчетности.</w:t>
      </w:r>
    </w:p>
    <w:p w14:paraId="5893F4C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Соответствующие ячейки отмечаются с учетом отнесения декларации к видам налоговой отчетности, указанным в статье 206 Налогового кодекса;</w:t>
      </w:r>
    </w:p>
    <w:p w14:paraId="3F217ED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номер и дата уведомления.</w:t>
      </w:r>
    </w:p>
    <w:p w14:paraId="030C833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Строки заполняются в случае представления вида декларации, предусмотренного подпунктом 4) пункта 3 статьи 206 Налогового кодекса;</w:t>
      </w:r>
    </w:p>
    <w:p w14:paraId="121348F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БИН филиала/представительства;</w:t>
      </w:r>
    </w:p>
    <w:p w14:paraId="08E255F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наименование филиала/представительства – наименование филиала/представительства в соответствии с учредительными документами;</w:t>
      </w:r>
    </w:p>
    <w:p w14:paraId="6E07C9D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9) код органа государственных доходов по месту регистрационного учета филиала/представительства – код органа государственных доходов по месту регистрационного учета филиала/представительства;</w:t>
      </w:r>
    </w:p>
    <w:p w14:paraId="3BD79F1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 Общая численность работников (человек) по филиалу/представительству – численность работников, в том числе работников иностранцев и лиц без гражданства, которым начислены доходы в отчетном квартале. При представлении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59FF089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26. В разделе «Расчетные показатели»:</w:t>
      </w:r>
    </w:p>
    <w:p w14:paraId="27F9CE3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строки 200.03.001 I, 200.03.001 II и 200.03.001 III предназначены для отражения суммы ИПН, исчисленного с доходов, выплаченных физическим лицам, и подлежащего перечислению в бюджет по филиалу/представительству за каждый месяц отчетного квартала.</w:t>
      </w:r>
    </w:p>
    <w:p w14:paraId="3568FEC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200.03.001 IV предназначена для отражения итоговой суммы налога за отчетный квартал, определяемой как сумма строк 200.03.001 I, 200.03.001 II и 200.03.001 III;</w:t>
      </w:r>
    </w:p>
    <w:p w14:paraId="49672D3F"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2) строки 200.03.002 I, 200.03.002 II и 200.03.002 III предназначены для отражения суммы обязательных пенсионных взносов, исчисленных с выплаченных доходов физических лиц и подлежащих перечислению в ЕНПФ по филиалу/представительству за каждый месяц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200.03.002 IV предназначена для отражения итоговой суммы обязательных пенсионных взносов за отчетный квартал, определяемой как сумма строк 200.03.002 I, 200.03.002 II и 200.03.002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3) строки 200.03.003 I, 200.03.003 II и 200.03.003 III предназначены для отражения суммы обязательных профессиональных пенсионных взносов,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200.03.003 IV предназначена для отражения итоговой суммы обязательных профессиональных пенсионных взносов за отчетный квартал, определяемой как сумма строк 200.03.003 I, 200.03.003 II и 200.03.003 III;</w:t>
      </w:r>
    </w:p>
    <w:p w14:paraId="3F29694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строки 200.03.004 I, 200.03.004 II и 200.03.004 III предназначены для отражения суммы социального налога по филиалу/представительству за каждый месяц отчетного квартала.</w:t>
      </w:r>
    </w:p>
    <w:p w14:paraId="32B884A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200.03.004 IV предназначена для отражения итоговой суммы налога за отчетный квартал, определяемой как сумма строк 200.03.004 I, 200.03.004 II и 200.03.004 III;</w:t>
      </w:r>
    </w:p>
    <w:p w14:paraId="48328DB8"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5) строки 200.03.005 I, 200.03.005 II и 200.03.005 III предназначены для отражения суммы социальных отчислений по филиалу/представительству в каждом месяце отчетного квартала, определяемых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200.03.005 IV предназначена для отражения итоговой суммы социальных отчислений за отчетный квартал, определяемой как сумма строк 200.03.005 I, 200.03.005 II и 200.03.005 III;</w:t>
      </w:r>
    </w:p>
    <w:p w14:paraId="0F1FA7B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строки 200.03.006 I, 200.03.006 II и 200.03.006 III предназначены для отражения суммы отчислений на ОСМС в соответствии с Законом об обязательном социальном медицинском страховании в каждом месяце отчетного квартала.</w:t>
      </w:r>
    </w:p>
    <w:p w14:paraId="4C729F3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Строка 200.03.006 IV предназначена для отражения итоговой суммы отчислений за отчетный квартал, определяемой как сумма строк 200.03.006 I, 200.03.006 II и 200.03.006 III;</w:t>
      </w:r>
    </w:p>
    <w:p w14:paraId="64535C4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строки 200.03.007 I, 200.03.007 II и 200.03.007 III предназначены для отражения суммы взносов на ОСМС в соответствии с Законом об обязательном социальном медицинском страховании с доходов работников в соответствии с Законом об обязательном социальном медицинском страховании,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 в каждом месяце отчетного квартала.</w:t>
      </w:r>
    </w:p>
    <w:p w14:paraId="6D089C7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200.03.007 IV предназначена для отражения итоговой суммы взносов за отчетный квартал, определяемой как сумма строк 200.03.007 I, 200.03.007 II и 200.03.007 III;</w:t>
      </w:r>
    </w:p>
    <w:p w14:paraId="0AD16494"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8) строки 200.03.008 I, 200.03.008 II и 200.03.008 III предназначены для отражения суммы обязательных пенсионных взносов работодателя,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200.03.008 IV предназначена для отражения итоговой суммы обязательных пенсионных взносов работодателя за отчетный квартал, определяемой как сумма строк 200.03.008 I, 200.03.008 II и 200.03.008 III;</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9) строки 200.03.009 I, 200.03.009 II и 200.03.009 III предназначены для отражения плательщиком суммы единого платежа, исчисляемых с доходов, начисленных работникам за месяц и подлежащих перечислению за работников в Государственную корпорацию «Правительство для граждан» за каждый месяц отчетного квартала в соответствии со статьей 776-4 Налоговым кодексом, Социальным кодексом и Законом об обязательном социальном медицинском страховании.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Строка 200.03.009 IV предназначена для отражения итоговой суммы единого платежа за отчетный квартал, определяемой как сумма строк 200.03.009 I, 200.03.009 II и 200.03.009 III</w:t>
      </w:r>
    </w:p>
    <w:p w14:paraId="0E75AB9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27. В разделе «Ответственность налогового агента»:</w:t>
      </w:r>
    </w:p>
    <w:p w14:paraId="5345BB3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и (или) распорядительными документами.</w:t>
      </w:r>
    </w:p>
    <w:p w14:paraId="352C1F9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78C5ED2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2) дата подачи – дата представления формы 200.03 в орган государственных доходов;</w:t>
      </w:r>
    </w:p>
    <w:p w14:paraId="5C27DB9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код органа государственных доходов – бенефициара по ИПН и социальному налогу, по месту регистрационного учета филиала/представительства;</w:t>
      </w:r>
    </w:p>
    <w:p w14:paraId="001F20D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код органа государственных доходов – бенефициара по социальным платежам, по месту нахождения филиала/представительства;</w:t>
      </w:r>
    </w:p>
    <w:p w14:paraId="453AD54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в поле «Фамилия, имя, отчество (при его наличии) должностного лица, принявшего форму» указываются фамилия, имя, отчество (при его наличии) работника органа государственных доходов, принявшего форму 200.03;</w:t>
      </w:r>
    </w:p>
    <w:p w14:paraId="7D14FF7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дата приема – дата представления формы 200.03 в соответствии с пунктом 2 статьи 209 Налогового кодекса;</w:t>
      </w:r>
    </w:p>
    <w:p w14:paraId="2998D44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входящий номер документа – регистрационный номер формы 200.03, присваиваемый органом государственных доходов;</w:t>
      </w:r>
    </w:p>
    <w:p w14:paraId="6714075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дата почтового штемпеля – дата почтового штемпеля, проставленного почтовой или иной организацией связи.</w:t>
      </w:r>
    </w:p>
    <w:p w14:paraId="066AC896"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6. Пояснение по заполнению формы 200.04 – Исчисление социального налога налогоплательщиками, работающими по контракту</w:t>
      </w:r>
    </w:p>
    <w:p w14:paraId="499DE18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28. Данная форма предназначена для исчисления социального налога налогоплательщиками, работающими по контрактам, заключенным с Республикой Казахстан в установленном законодательством порядке в соответствии с пунктом 1 статьи 722 Налогового кодекса (далее – контракты). Форма составляется по каждому контракту отдельно.</w:t>
      </w:r>
    </w:p>
    <w:p w14:paraId="48E108D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29. В разделе «Общая информация о налогоплательщике (налоговом агенте, агенте или плательщике социальных платежей)»:</w:t>
      </w:r>
    </w:p>
    <w:p w14:paraId="7C1D57C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ИИН (БИН) налогоплательщика.</w:t>
      </w:r>
    </w:p>
    <w:p w14:paraId="0CBC68A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исполнении налогового обязательства доверительным управляющим в строке указывается ИИН (БИН) доверительного управляющего;</w:t>
      </w:r>
    </w:p>
    <w:p w14:paraId="3308552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61B72AE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в строке «Численность работников (человек), в том числе» указывается численность работников, с выделением работников-иностранных специалистов и работников-иностранных рабочих;</w:t>
      </w:r>
    </w:p>
    <w:p w14:paraId="4AF6D90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в строке «Реквизиты контракта» указываются реквизиты контракта:</w:t>
      </w:r>
    </w:p>
    <w:p w14:paraId="7AF0E94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А – номер контракта;</w:t>
      </w:r>
    </w:p>
    <w:p w14:paraId="0733810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В – дата заключения контракта.</w:t>
      </w:r>
    </w:p>
    <w:p w14:paraId="5DE895D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30. Раздел «Социальный налог за работников» предназначен для исчисления социального налога за работников, за исключением работников-иностранных специалистов и иностранных рабочих:</w:t>
      </w:r>
    </w:p>
    <w:p w14:paraId="3ECA60A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строки 200.04.001 I, 200.04.001 II и 200.04.001 III предназначены для отражения суммы облагаемых доходов работников, за исключением работников-иностранных специалистов и иностранных рабочих, за каждый месяц отчетного квартала.</w:t>
      </w:r>
    </w:p>
    <w:p w14:paraId="74EBD6C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Строка 200.04.001 IV предназначена для отражения итоговой суммы доходов за отчетный квартал, определяемой как сумма строк 200.04.001 I, 200.04.001 II и 200.04.001 III;</w:t>
      </w:r>
    </w:p>
    <w:p w14:paraId="169BEC9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строки 200.04.002 I, 200.04.002 II и 200.04.002 III предназначены для отражения размера ставки социального налога за работников, установленной в соответствии с контрактом;</w:t>
      </w:r>
    </w:p>
    <w:p w14:paraId="76CFEAD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строки 200.04.003 I, 200.04.003 II и 200.04.003 III предназначены для отражения суммы социального налога за работников, исчисленного за каждый месяц отчетного квартала, за исключением работников-иностранных специалистов и иностранных рабочих, определяемой путем умножения соответствующих сумм строк 200.04.001 и 200.04.002.</w:t>
      </w:r>
    </w:p>
    <w:p w14:paraId="21721F37"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7. Пояснение по заполнению формы 200.05 – Исчисление налогов и социальных платежей по доходам физических лиц</w:t>
      </w:r>
    </w:p>
    <w:p w14:paraId="32244F6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31. Данная форма предназначена для исчисления налогов и социальных платежей с доходов физических лиц, облагаемых у источника выплаты, за исключением иностранцев и лиц без гражданства.</w:t>
      </w:r>
    </w:p>
    <w:p w14:paraId="36080F9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32. В разделе «Общая информация о налогоплательщике (налоговом агенте, агенте или плательщике социальных платежей)»:</w:t>
      </w:r>
    </w:p>
    <w:p w14:paraId="6E4C066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ИИН (БИН) налогоплательщика.</w:t>
      </w:r>
    </w:p>
    <w:p w14:paraId="759D72E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При исполнении налогового обязательства доверительным управляющим в строке указывается ИИН (БИН) доверительного управляющего;</w:t>
      </w:r>
    </w:p>
    <w:p w14:paraId="344D120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0BBA87B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33. В разделе «Исчисление налогов и социальных платежей с доходов физических лиц»:</w:t>
      </w:r>
    </w:p>
    <w:p w14:paraId="0DF54F2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в графе А проставляется очередной порядковый номер;</w:t>
      </w:r>
    </w:p>
    <w:p w14:paraId="16EA2C3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в графе В указываются фамилия, имя, отчество (при его наличии) физических лиц, которым начислены доходы в отчетном квартале;</w:t>
      </w:r>
    </w:p>
    <w:p w14:paraId="30AEF16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в графе C указываются ИИН физических лиц;</w:t>
      </w:r>
    </w:p>
    <w:p w14:paraId="4270CC5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в графе D указывается статус физического лица:</w:t>
      </w:r>
    </w:p>
    <w:p w14:paraId="7C5B4AF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 – физическое лицо, получившее доход работника (по трудовому договору/контракту), в том числе в виде натуральной и материальной выгоды, прощения долга, а также безвозмездно полученного имущества;</w:t>
      </w:r>
    </w:p>
    <w:p w14:paraId="5556E1A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 физическое лицо, получившее доходы по договорам гражданско-правового характера предметом, которых является оказание услуг, выполнение работ, в том числе в виде прощения долга;</w:t>
      </w:r>
    </w:p>
    <w:p w14:paraId="011AD4D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 физическое лицо, получившее доход в виде выигрыша;</w:t>
      </w:r>
    </w:p>
    <w:p w14:paraId="7D64703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 физическое лицо, получившее доходы в виде пенсионных выплат;</w:t>
      </w:r>
    </w:p>
    <w:p w14:paraId="11327AC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5 – физическое лицо, получившее доходы в виде вознаграждения по операциям </w:t>
      </w:r>
      <w:proofErr w:type="spellStart"/>
      <w:r w:rsidRPr="00D5266A">
        <w:rPr>
          <w:rFonts w:ascii="Helvetica" w:hAnsi="Helvetica" w:cs="Helvetica"/>
          <w:color w:val="0A0A0A"/>
        </w:rPr>
        <w:t>репо</w:t>
      </w:r>
      <w:proofErr w:type="spellEnd"/>
      <w:r w:rsidRPr="00D5266A">
        <w:rPr>
          <w:rFonts w:ascii="Helvetica" w:hAnsi="Helvetica" w:cs="Helvetica"/>
          <w:color w:val="0A0A0A"/>
        </w:rPr>
        <w:t>;</w:t>
      </w:r>
    </w:p>
    <w:p w14:paraId="589BEBB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6 – физическое лицо, получившее доходы в виде вознаграждений, за исключением вознаграждения по операциям </w:t>
      </w:r>
      <w:proofErr w:type="spellStart"/>
      <w:r w:rsidRPr="00D5266A">
        <w:rPr>
          <w:rFonts w:ascii="Helvetica" w:hAnsi="Helvetica" w:cs="Helvetica"/>
          <w:color w:val="0A0A0A"/>
        </w:rPr>
        <w:t>репо</w:t>
      </w:r>
      <w:proofErr w:type="spellEnd"/>
      <w:r w:rsidRPr="00D5266A">
        <w:rPr>
          <w:rFonts w:ascii="Helvetica" w:hAnsi="Helvetica" w:cs="Helvetica"/>
          <w:color w:val="0A0A0A"/>
        </w:rPr>
        <w:t>;</w:t>
      </w:r>
    </w:p>
    <w:p w14:paraId="70AFC99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 физическое лицо, получившее доходы в виде дивидендов;</w:t>
      </w:r>
    </w:p>
    <w:p w14:paraId="22D673F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 физическое лицо, получившее доходы в виде стипендий;</w:t>
      </w:r>
    </w:p>
    <w:p w14:paraId="182B7BD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9 – физическое лицо, получившее доходы по договорам накопительного страхования;</w:t>
      </w:r>
    </w:p>
    <w:p w14:paraId="57398D1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 – физическое лицо, получившее доходы от личного подсобного хозяйства;</w:t>
      </w:r>
    </w:p>
    <w:p w14:paraId="55E588F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 – физическое лицо, получившее иные доходы, облагаемые у источника выплаты, за исключением указанных выше.</w:t>
      </w:r>
    </w:p>
    <w:p w14:paraId="61C5142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у физического лица произведены выплаты в виде нескольких видов доходов, каждый из перечисленных доходов подлежит заполнению отдельной строкой;</w:t>
      </w:r>
    </w:p>
    <w:p w14:paraId="60A2BF2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в графе E указывается категория физического лица:</w:t>
      </w:r>
    </w:p>
    <w:p w14:paraId="5E8C5B1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 пенсионер;</w:t>
      </w:r>
    </w:p>
    <w:p w14:paraId="498E667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 лицо с инвалидностью;</w:t>
      </w:r>
    </w:p>
    <w:p w14:paraId="76FE453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 лицо, приравненное к участникам Великой Отечественной войны и/или являющееся ветераном боевых действий на территории других государств;</w:t>
      </w:r>
    </w:p>
    <w:p w14:paraId="13B2223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33D7DD6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5 – усыновитель (</w:t>
      </w:r>
      <w:proofErr w:type="spellStart"/>
      <w:r w:rsidRPr="00D5266A">
        <w:rPr>
          <w:rFonts w:ascii="Helvetica" w:hAnsi="Helvetica" w:cs="Helvetica"/>
          <w:color w:val="0A0A0A"/>
        </w:rPr>
        <w:t>удочеритель</w:t>
      </w:r>
      <w:proofErr w:type="spellEnd"/>
      <w:r w:rsidRPr="00D5266A">
        <w:rPr>
          <w:rFonts w:ascii="Helvetica" w:hAnsi="Helvetica" w:cs="Helvetica"/>
          <w:color w:val="0A0A0A"/>
        </w:rPr>
        <w:t>) ребенка, не достигшего восемнадцатилетнего возраста;</w:t>
      </w:r>
    </w:p>
    <w:p w14:paraId="7B561D3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 приемный родитель, принявший детей-сирот и детей, оставшихся без попечения родителей, в приемную семью.</w:t>
      </w:r>
    </w:p>
    <w:p w14:paraId="31ACEFC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Если физическое лицо имеет несколько категорий, категории указываются через запятую;</w:t>
      </w:r>
    </w:p>
    <w:p w14:paraId="527667F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6) в графе F отмечается, если физическое лицо в соответствии со статьей 6 Конституционного закона является работником участника или органа МФЦА;</w:t>
      </w:r>
    </w:p>
    <w:p w14:paraId="237EAEE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7) в графе G отмечается если физическое лицо осуществляет деятельность в структурном подразделении юридического лица. не признанном налоговым агентом. Подлежит заполнению если заполнено приложение 200.03 за структурное подразделение;</w:t>
      </w:r>
    </w:p>
    <w:p w14:paraId="4E0843F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8) в графе H указывается начисленные физическим лицам доходы;</w:t>
      </w:r>
    </w:p>
    <w:p w14:paraId="2E23F3C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9) в графе I указывается корректировка согласно пункту 1 статьи 341 Налогового кодекса.</w:t>
      </w:r>
    </w:p>
    <w:p w14:paraId="344B269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4213D21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 в графе J указывается сумма корректировки в соответствии с пунктом 1 статьи 341 Налогового кодекса.</w:t>
      </w:r>
    </w:p>
    <w:p w14:paraId="0D6F531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06D13442"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11) в графе К указывается сумма обязательных пенсионных взносов, исчисленных с начисленных доходов в соответствии с Социальным кодексом;</w:t>
      </w:r>
    </w:p>
    <w:p w14:paraId="572FC61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 в графе L указывается сумма взносов на обязательное социальное медицинское страхование, исчисленных с начисленных доходов;</w:t>
      </w:r>
    </w:p>
    <w:p w14:paraId="5ECF84E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 в графе М указываются стандартные налоговые вычеты:</w:t>
      </w:r>
    </w:p>
    <w:p w14:paraId="5A2A57E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257B056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 882-кратный размер месячного расчетного показателя за календарный год в соответствии с подпунктом 2) пункта 1 статьи 346 Налогового кодекса;</w:t>
      </w:r>
    </w:p>
    <w:p w14:paraId="7B8BC52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 882-кратный размер месячного расчетного показателя за календарный год в соответствии с подпунктом 3) пункта 1 статьи 346 Налогового кодекса.</w:t>
      </w:r>
    </w:p>
    <w:p w14:paraId="3C17E0A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Если Приложение заполняется на бумажном носителе, и если к доходу физического лица применено несколько видов стандартных налоговых вычетов, каждый вид налогового вычета подлежит заполнению отдельной строкой;</w:t>
      </w:r>
    </w:p>
    <w:p w14:paraId="7B12655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14) в графе N указывается сумма стандартных налоговых вычетов.</w:t>
      </w:r>
    </w:p>
    <w:p w14:paraId="0BC7CD4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0B1AAF4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15) в графе О указываются прочие налоговые вычеты:</w:t>
      </w:r>
    </w:p>
    <w:p w14:paraId="19C3F1A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 – налоговый вычет по добровольным пенсионным взносам;</w:t>
      </w:r>
    </w:p>
    <w:p w14:paraId="0D1A042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 – налоговый вычет на медицину;</w:t>
      </w:r>
    </w:p>
    <w:p w14:paraId="3A1E5BB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 – налоговый вычет по вознаграждениям.</w:t>
      </w:r>
    </w:p>
    <w:p w14:paraId="39B1EFA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прочих налоговых вычетов, каждый вид налогового вычета подлежит заполнению отдельной строкой;</w:t>
      </w:r>
    </w:p>
    <w:p w14:paraId="7A44720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16) в графе Р указывается сумма прочих налоговых вычетов.</w:t>
      </w:r>
    </w:p>
    <w:p w14:paraId="2ED82B0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35F757F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17) в графе Q указывается сумма индивидуального подоходного налога, исчисленного с начисленных доходов;</w:t>
      </w:r>
    </w:p>
    <w:p w14:paraId="6CF6E0A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18) в графе R указывается сумма задолженности по начисленным, но невыплаченным доходам физических лиц за отчетный квартал;</w:t>
      </w:r>
    </w:p>
    <w:p w14:paraId="5614F71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19) в графе S указывается сумма выплаченных физическим лицам доходов;</w:t>
      </w:r>
    </w:p>
    <w:p w14:paraId="7D578BB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20) в графе Т указывается сумма индивидуального подоходного налога, подлежащего уплате в бюджет;</w:t>
      </w:r>
    </w:p>
    <w:p w14:paraId="2297AFF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21) в графе U указывается сумма обязательных пенсионных взносов, подлежащих перечислению;</w:t>
      </w:r>
    </w:p>
    <w:p w14:paraId="3046717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22) в графе V указывается сумма взносов на ОСМС, подлежащих перечислению;</w:t>
      </w:r>
    </w:p>
    <w:p w14:paraId="197BE12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23) в графе W указываются суммы доходов, не облагаемые социальным налогом, в виде выплат на оплату труда работникам за счет средств грантов;</w:t>
      </w:r>
    </w:p>
    <w:p w14:paraId="4079B03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24) в графе Х указываются доходы, облагаемые социальным налогом;</w:t>
      </w:r>
    </w:p>
    <w:p w14:paraId="176940E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25) в графе Y указывается сумма исчисленного с начисленных доходов социального налога;</w:t>
      </w:r>
    </w:p>
    <w:p w14:paraId="3BEB0C5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26) в графе Z указывается сумма социальных отчислений, начисленных в соответствии с законодательством Республики Казахстан;</w:t>
      </w:r>
    </w:p>
    <w:p w14:paraId="4344870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27) в графе AA указывается сумма социального налога, подлежащего уплате в бюджет;</w:t>
      </w:r>
    </w:p>
    <w:p w14:paraId="36FDA85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28) в графе АВ указывается сумма обязательных профессиональных пенсионных взносов, подлежащих уплате;</w:t>
      </w:r>
    </w:p>
    <w:p w14:paraId="3C30927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29) в графе АС указывается с</w:t>
      </w:r>
      <w:bookmarkStart w:id="0" w:name="_GoBack"/>
      <w:bookmarkEnd w:id="0"/>
      <w:r w:rsidRPr="00D5266A">
        <w:rPr>
          <w:rFonts w:ascii="Helvetica" w:hAnsi="Helvetica" w:cs="Helvetica"/>
          <w:color w:val="0A0A0A"/>
        </w:rPr>
        <w:t>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2E6F85D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30) в графе АD указывается сумма обязательных пенсионных взносов работодателя, подлежащих уплате.</w:t>
      </w:r>
    </w:p>
    <w:p w14:paraId="076D91AC"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8. Пояснение по заполнению формы 200.06 – Исчисление единого платежа с доходов работников</w:t>
      </w:r>
    </w:p>
    <w:p w14:paraId="71620814" w14:textId="77777777" w:rsidR="00D5266A" w:rsidRPr="00D5266A" w:rsidRDefault="00D5266A" w:rsidP="00D5266A">
      <w:pPr>
        <w:rPr>
          <w:sz w:val="24"/>
          <w:szCs w:val="24"/>
        </w:rPr>
      </w:pPr>
      <w:r w:rsidRPr="00D5266A">
        <w:rPr>
          <w:rFonts w:ascii="Helvetica" w:hAnsi="Helvetica" w:cs="Helvetica"/>
          <w:color w:val="0A0A0A"/>
          <w:sz w:val="24"/>
          <w:szCs w:val="24"/>
          <w:shd w:val="clear" w:color="auto" w:fill="F7F7F7"/>
        </w:rPr>
        <w:t>34. Данная форма предназначена для исчисления единого платежа с доходов работников, в том числе с доходов работников иностранцев и лиц без гражданства, признанных в целях налогообложения резидентами Республики Казахстан, а также с доходов работников структурных подразделений, не признанных налоговыми агентами по ИПН и самостоятельными плательщиками по социальному налогу, в соответствии с главой 89-1 раздела 24-1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Форма составляется плательщиком единого платежа (в том числе структурных подразделений, признанных налоговыми агентами в соответствии со статьей 355 Налогового кодекса). При этом юридическое лицо (в том числе структурных подразделений, признанных налоговыми агентами в соответствии со статьей 355 Налогового кодекса) заполняет форму за себя и по каждому филиалу/представительству, не признанному налоговым агентом по ИПН и самостоятельным плательщиком по социальному налогу в соответствии со статьями 353, 358, 486 и 489 Налогового кодекса.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35. В разделе «Общая информация о налогоплательщике (налоговом агенте, плательщике единого платежа, агенте или плательщике социальных платежей)»:</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 ИИН (БИН) налогоплательщика.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При исполнении налогового обязательства доверительным управляющим в строке указывается ИИН (БИН) доверительного управляющего;</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r w:rsidRPr="00D5266A">
        <w:rPr>
          <w:rFonts w:ascii="Helvetica" w:hAnsi="Helvetica" w:cs="Helvetica"/>
          <w:color w:val="0A0A0A"/>
          <w:sz w:val="24"/>
          <w:szCs w:val="24"/>
        </w:rPr>
        <w:br/>
      </w:r>
      <w:r w:rsidRPr="00D5266A">
        <w:rPr>
          <w:rFonts w:ascii="Helvetica" w:hAnsi="Helvetica" w:cs="Helvetica"/>
          <w:color w:val="0A0A0A"/>
          <w:sz w:val="24"/>
          <w:szCs w:val="24"/>
        </w:rPr>
        <w:lastRenderedPageBreak/>
        <w:br/>
      </w:r>
      <w:r w:rsidRPr="00D5266A">
        <w:rPr>
          <w:rFonts w:ascii="Helvetica" w:hAnsi="Helvetica" w:cs="Helvetica"/>
          <w:color w:val="0A0A0A"/>
          <w:sz w:val="24"/>
          <w:szCs w:val="24"/>
          <w:shd w:val="clear" w:color="auto" w:fill="F7F7F7"/>
        </w:rPr>
        <w:t>3) БИН филиала/представительства.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36. В разделе «Исчисление единого платежа с доходов работников»:</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 в графе А проставляется очередной порядковый номер;</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2) в графе В указываются фамилия, имя, отчество (при его наличии) физических лиц, которым начислены доходы в отчетном периоде;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3) в графе C указываются ИИН физических лиц;</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4) в графе D указывается категория физического лица: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 – пенсионер;</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2 – лицо с инвалидностью;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3 – лицо, приравненное к участникам Великой Отечественной войны и/или являющееся ветераном боевых действий на территории других государств;</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5 – усыновитель (</w:t>
      </w:r>
      <w:proofErr w:type="spellStart"/>
      <w:r w:rsidRPr="00D5266A">
        <w:rPr>
          <w:rFonts w:ascii="Helvetica" w:hAnsi="Helvetica" w:cs="Helvetica"/>
          <w:color w:val="0A0A0A"/>
          <w:sz w:val="24"/>
          <w:szCs w:val="24"/>
          <w:shd w:val="clear" w:color="auto" w:fill="F7F7F7"/>
        </w:rPr>
        <w:t>удочеритель</w:t>
      </w:r>
      <w:proofErr w:type="spellEnd"/>
      <w:r w:rsidRPr="00D5266A">
        <w:rPr>
          <w:rFonts w:ascii="Helvetica" w:hAnsi="Helvetica" w:cs="Helvetica"/>
          <w:color w:val="0A0A0A"/>
          <w:sz w:val="24"/>
          <w:szCs w:val="24"/>
          <w:shd w:val="clear" w:color="auto" w:fill="F7F7F7"/>
        </w:rPr>
        <w:t>) ребенка, не достигшего восемнадцатилетнего возраста;</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6 – приемный родитель, принявший детей-сирот и детей, оставшихся без попечения родителей, в приемную семью;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7 – дети;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8 – лица, находящиеся в отпусках в связи с беременностью и родами, усыновлением (удочерением) новорожденного ребенка (детей), по уходу за ребенком (детьми) до достижения им (ими) возраста трех лет;</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9 –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 xml:space="preserve">10 – многодетные матери, награжденные подвесками «Алтын </w:t>
      </w:r>
      <w:proofErr w:type="spellStart"/>
      <w:r w:rsidRPr="00D5266A">
        <w:rPr>
          <w:rFonts w:ascii="Helvetica" w:hAnsi="Helvetica" w:cs="Helvetica"/>
          <w:color w:val="0A0A0A"/>
          <w:sz w:val="24"/>
          <w:szCs w:val="24"/>
          <w:shd w:val="clear" w:color="auto" w:fill="F7F7F7"/>
        </w:rPr>
        <w:t>алқа</w:t>
      </w:r>
      <w:proofErr w:type="spellEnd"/>
      <w:r w:rsidRPr="00D5266A">
        <w:rPr>
          <w:rFonts w:ascii="Helvetica" w:hAnsi="Helvetica" w:cs="Helvetica"/>
          <w:color w:val="0A0A0A"/>
          <w:sz w:val="24"/>
          <w:szCs w:val="24"/>
          <w:shd w:val="clear" w:color="auto" w:fill="F7F7F7"/>
        </w:rPr>
        <w:t>», «</w:t>
      </w:r>
      <w:proofErr w:type="spellStart"/>
      <w:r w:rsidRPr="00D5266A">
        <w:rPr>
          <w:rFonts w:ascii="Helvetica" w:hAnsi="Helvetica" w:cs="Helvetica"/>
          <w:color w:val="0A0A0A"/>
          <w:sz w:val="24"/>
          <w:szCs w:val="24"/>
          <w:shd w:val="clear" w:color="auto" w:fill="F7F7F7"/>
        </w:rPr>
        <w:t>Күміс</w:t>
      </w:r>
      <w:proofErr w:type="spellEnd"/>
      <w:r w:rsidRPr="00D5266A">
        <w:rPr>
          <w:rFonts w:ascii="Helvetica" w:hAnsi="Helvetica" w:cs="Helvetica"/>
          <w:color w:val="0A0A0A"/>
          <w:sz w:val="24"/>
          <w:szCs w:val="24"/>
          <w:shd w:val="clear" w:color="auto" w:fill="F7F7F7"/>
        </w:rPr>
        <w:t xml:space="preserve"> </w:t>
      </w:r>
      <w:proofErr w:type="spellStart"/>
      <w:r w:rsidRPr="00D5266A">
        <w:rPr>
          <w:rFonts w:ascii="Helvetica" w:hAnsi="Helvetica" w:cs="Helvetica"/>
          <w:color w:val="0A0A0A"/>
          <w:sz w:val="24"/>
          <w:szCs w:val="24"/>
          <w:shd w:val="clear" w:color="auto" w:fill="F7F7F7"/>
        </w:rPr>
        <w:t>алқа</w:t>
      </w:r>
      <w:proofErr w:type="spellEnd"/>
      <w:r w:rsidRPr="00D5266A">
        <w:rPr>
          <w:rFonts w:ascii="Helvetica" w:hAnsi="Helvetica" w:cs="Helvetica"/>
          <w:color w:val="0A0A0A"/>
          <w:sz w:val="24"/>
          <w:szCs w:val="24"/>
          <w:shd w:val="clear" w:color="auto" w:fill="F7F7F7"/>
        </w:rPr>
        <w:t>» или получившие ранее звание «Мать-героиня», а также награжденные орденами «Материнская слава» I и II степени;</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 xml:space="preserve">11 – лица, обучающиеся по очной форме обучения в организациях среднего, технического и профессионального, </w:t>
      </w:r>
      <w:proofErr w:type="spellStart"/>
      <w:r w:rsidRPr="00D5266A">
        <w:rPr>
          <w:rFonts w:ascii="Helvetica" w:hAnsi="Helvetica" w:cs="Helvetica"/>
          <w:color w:val="0A0A0A"/>
          <w:sz w:val="24"/>
          <w:szCs w:val="24"/>
          <w:shd w:val="clear" w:color="auto" w:fill="F7F7F7"/>
        </w:rPr>
        <w:t>послесреднего</w:t>
      </w:r>
      <w:proofErr w:type="spellEnd"/>
      <w:r w:rsidRPr="00D5266A">
        <w:rPr>
          <w:rFonts w:ascii="Helvetica" w:hAnsi="Helvetica" w:cs="Helvetica"/>
          <w:color w:val="0A0A0A"/>
          <w:sz w:val="24"/>
          <w:szCs w:val="24"/>
          <w:shd w:val="clear" w:color="auto" w:fill="F7F7F7"/>
        </w:rPr>
        <w:t>, высшего образования, а также послевузовского образования;</w:t>
      </w:r>
      <w:r w:rsidRPr="00D5266A">
        <w:rPr>
          <w:rFonts w:ascii="Helvetica" w:hAnsi="Helvetica" w:cs="Helvetica"/>
          <w:color w:val="0A0A0A"/>
          <w:sz w:val="24"/>
          <w:szCs w:val="24"/>
        </w:rPr>
        <w:br/>
      </w:r>
      <w:r w:rsidRPr="00D5266A">
        <w:rPr>
          <w:rFonts w:ascii="Helvetica" w:hAnsi="Helvetica" w:cs="Helvetica"/>
          <w:color w:val="0A0A0A"/>
          <w:sz w:val="24"/>
          <w:szCs w:val="24"/>
        </w:rPr>
        <w:lastRenderedPageBreak/>
        <w:br/>
      </w:r>
      <w:r w:rsidRPr="00D5266A">
        <w:rPr>
          <w:rFonts w:ascii="Helvetica" w:hAnsi="Helvetica" w:cs="Helvetica"/>
          <w:color w:val="0A0A0A"/>
          <w:sz w:val="24"/>
          <w:szCs w:val="24"/>
          <w:shd w:val="clear" w:color="auto" w:fill="F7F7F7"/>
        </w:rPr>
        <w:t>Если физическое лицо имеет несколько категорий, категории указываются через запятую.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5) в графе E указывается начисленные работникам доходы;</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6) в графе F указывается сумма единого платежа, исчисленного с начисленных доходов;</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7) в графе G указывается сумма индивидуального подоходного налога, подлежащего уплате в бюджет;</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8) в графе H указывается сумма обязательных пенсионных взносов, подлежащих перечислению;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9) в графе I указывается сумма взносов на ОСМС, подлежащих перечислению;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10) в графе J указывается сумма социальных отчислений, начисленных в соответствии с Социальным кодексом;</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11) в графе К указывается сумма отчислений на ОСМС в соответствии с Законом об обязательном социальном медицинском страховании, подлежащих уплате;</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12) в графе L указывается сумма обязательных пенсионных взносов работодателя, подлежащих перечислению;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13) в графе M указывается сумма единого платежа, подлежащего перечислению;</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14) в графе N указывается код страны гражданства физического лица иностранцев и лиц без гражданства, признанных в целях налогообложения резидентами Республики Казахстан.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Для лиц без гражданства в графе N указывается код «00»;</w:t>
      </w:r>
      <w:r w:rsidRPr="00D5266A">
        <w:rPr>
          <w:rFonts w:ascii="Helvetica" w:hAnsi="Helvetica" w:cs="Helvetica"/>
          <w:color w:val="0A0A0A"/>
          <w:sz w:val="24"/>
          <w:szCs w:val="24"/>
        </w:rPr>
        <w:br/>
      </w:r>
      <w:r w:rsidRPr="00D5266A">
        <w:rPr>
          <w:rFonts w:ascii="Helvetica" w:hAnsi="Helvetica" w:cs="Helvetica"/>
          <w:color w:val="0A0A0A"/>
          <w:sz w:val="24"/>
          <w:szCs w:val="24"/>
        </w:rPr>
        <w:br/>
      </w:r>
      <w:r w:rsidRPr="00D5266A">
        <w:rPr>
          <w:rFonts w:ascii="Helvetica" w:hAnsi="Helvetica" w:cs="Helvetica"/>
          <w:color w:val="0A0A0A"/>
          <w:sz w:val="24"/>
          <w:szCs w:val="24"/>
          <w:shd w:val="clear" w:color="auto" w:fill="F7F7F7"/>
        </w:rPr>
        <w:t>15) в графе О отмечается если физическое лицо осуществляет деятельность в структурном подразделении юридического лица, не признанном налоговым агентом.</w:t>
      </w:r>
    </w:p>
    <w:p w14:paraId="290696FC" w14:textId="77777777" w:rsidR="0071798C" w:rsidRPr="00D5266A" w:rsidRDefault="0071798C" w:rsidP="00D5266A">
      <w:pPr>
        <w:pStyle w:val="a3"/>
        <w:rPr>
          <w:rFonts w:ascii="Helvetica" w:hAnsi="Helvetica" w:cs="Helvetica"/>
          <w:color w:val="0A0A0A"/>
        </w:rPr>
      </w:pPr>
      <w:r w:rsidRPr="00D5266A">
        <w:rPr>
          <w:rFonts w:ascii="Helvetica" w:hAnsi="Helvetica" w:cs="Helvetica"/>
          <w:b/>
          <w:bCs/>
          <w:color w:val="0A0A0A"/>
        </w:rPr>
        <w:t>Глава 9. Коды видов доходов, стран и международных договоров</w:t>
      </w:r>
    </w:p>
    <w:p w14:paraId="7CDB109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37. При заполнении декларации используется следующая кодировка видов доходов из источников в Республике Казахстан:</w:t>
      </w:r>
    </w:p>
    <w:p w14:paraId="7B18894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пределами в рамках осуществления внешнеторговой деятельности;</w:t>
      </w:r>
    </w:p>
    <w:p w14:paraId="7756947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1020 – доход от выполнения работ, оказания услуг на территории Республики Казахстан;</w:t>
      </w:r>
    </w:p>
    <w:p w14:paraId="4F8BBF2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3F310E1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1040 – доходы лица, зарегистрированного в государстве с льготным налогообложением, включенным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57F74B4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4510778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не удовлетворенных нерезидентом по истечении двухлетнего периода со дня выплаты аванса (предоплаты);</w:t>
      </w:r>
    </w:p>
    <w:p w14:paraId="23C561F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664CDD6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1060 – доход от прироста стоимости при реализации:</w:t>
      </w:r>
    </w:p>
    <w:p w14:paraId="2DD5D47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7F44A73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07D05FA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5FF2154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акций, выпущенных нерезидентом, а также долей участия в уставном капитале юридического лица-нерезидента, консорциума, если 50 и более процентов </w:t>
      </w:r>
      <w:r w:rsidRPr="00D5266A">
        <w:rPr>
          <w:rFonts w:ascii="Helvetica" w:hAnsi="Helvetica" w:cs="Helvetica"/>
          <w:color w:val="0A0A0A"/>
        </w:rPr>
        <w:lastRenderedPageBreak/>
        <w:t>стоимости таких акций, долей участия или активов юридического лица-нерезидента составляет имущество, находящееся в Республике Казахстан;</w:t>
      </w:r>
    </w:p>
    <w:p w14:paraId="65274AE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2F71D21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3C95A97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1090 – доход в виде неустойки (штрафов, пени) и других видов санкций, кроме возвращенных из бюджета необоснованно удержанных ранее штрафов;</w:t>
      </w:r>
    </w:p>
    <w:p w14:paraId="54928C9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1528B20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1110 – доходы в виде вознаграждений, за исключением вознаграждений по долговым ценным бумагам;</w:t>
      </w:r>
    </w:p>
    <w:p w14:paraId="5542BEB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1120 – доходы в виде вознаграждений по долговым ценным бумагам, получаемые от эмитента;</w:t>
      </w:r>
    </w:p>
    <w:p w14:paraId="7C9A415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1130 – доходы в форме роялти;</w:t>
      </w:r>
    </w:p>
    <w:p w14:paraId="44C9E44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10463AE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1150 – доход, получаемые от недвижимого имущества, находящегося в Республике Казахстан;</w:t>
      </w:r>
    </w:p>
    <w:p w14:paraId="714E669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1160 – доход в виде страховых премий, выплачиваемых по договорам страхования или перестрахования рисков, возникающих в Республике Казахстан;</w:t>
      </w:r>
    </w:p>
    <w:p w14:paraId="67C385C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1170 – доход от оказания услуг по международной перевозке;</w:t>
      </w:r>
    </w:p>
    <w:p w14:paraId="52F0F18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1180 – доход в виде платежа за простой судна при погрузочно-разгрузочных операциях </w:t>
      </w:r>
      <w:proofErr w:type="spellStart"/>
      <w:r w:rsidRPr="00D5266A">
        <w:rPr>
          <w:rFonts w:ascii="Helvetica" w:hAnsi="Helvetica" w:cs="Helvetica"/>
          <w:color w:val="0A0A0A"/>
        </w:rPr>
        <w:t>сверхсталийного</w:t>
      </w:r>
      <w:proofErr w:type="spellEnd"/>
      <w:r w:rsidRPr="00D5266A">
        <w:rPr>
          <w:rFonts w:ascii="Helvetica" w:hAnsi="Helvetica" w:cs="Helvetica"/>
          <w:color w:val="0A0A0A"/>
        </w:rPr>
        <w:t xml:space="preserve"> времени, предусмотренного в договоре (контракте) морской перевозки;</w:t>
      </w:r>
    </w:p>
    <w:p w14:paraId="006F6D2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4DBBADE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340BB2B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3FD2F69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1220 – 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1B4A9A8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181621A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1240 – доход физического лица-нерезидента от деятельности в Республике Казахстан в виде материальной выгоды, полученной от работодателя;</w:t>
      </w:r>
    </w:p>
    <w:p w14:paraId="2416C96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1250 – доход физического лица-нерезидента в виде материальной выгоды, полученной от лица, не являющегося работодателем;</w:t>
      </w:r>
    </w:p>
    <w:p w14:paraId="19387EC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1260 – пенсионные выплаты, осуществляемые накопительным пенсионным фондом-резидентом;</w:t>
      </w:r>
    </w:p>
    <w:p w14:paraId="276491C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58385D7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1280 – доход в виде выигрыша;</w:t>
      </w:r>
    </w:p>
    <w:p w14:paraId="0565D16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1290 – доход, от оказания независимых личных (профессиональных) услуг в Республике Казахстан;</w:t>
      </w:r>
    </w:p>
    <w:p w14:paraId="2E203BD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25A4302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1310 – доходы по производным финансовым инструментам;</w:t>
      </w:r>
    </w:p>
    <w:p w14:paraId="26D8E10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1320 – доход от передачи в доверительное управление имущества резиденту, на которого возложено исполнение налогового обязательства в Республике Казахстан за нерезидента, являющегося учредителем доверительного управления;</w:t>
      </w:r>
    </w:p>
    <w:p w14:paraId="693C8EB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1330 – доход по инвестиционному депозиту, размещенного в исламском банке;</w:t>
      </w:r>
    </w:p>
    <w:p w14:paraId="533D15B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1340 – другие доходы, возникающие от деятельности на территории Республики Казахстан.</w:t>
      </w:r>
    </w:p>
    <w:p w14:paraId="69780A7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38. При заполнении декларации, в том числе используется кодировка оффшорных стран:</w:t>
      </w:r>
    </w:p>
    <w:p w14:paraId="3D374FE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0001 – Княжество </w:t>
      </w:r>
      <w:proofErr w:type="spellStart"/>
      <w:r w:rsidRPr="00D5266A">
        <w:rPr>
          <w:rFonts w:ascii="Helvetica" w:hAnsi="Helvetica" w:cs="Helvetica"/>
          <w:color w:val="0A0A0A"/>
        </w:rPr>
        <w:t>Андора</w:t>
      </w:r>
      <w:proofErr w:type="spellEnd"/>
      <w:r w:rsidRPr="00D5266A">
        <w:rPr>
          <w:rFonts w:ascii="Helvetica" w:hAnsi="Helvetica" w:cs="Helvetica"/>
          <w:color w:val="0A0A0A"/>
        </w:rPr>
        <w:t>;</w:t>
      </w:r>
    </w:p>
    <w:p w14:paraId="0E01196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0002 – Антигуа и Барбуда;</w:t>
      </w:r>
    </w:p>
    <w:p w14:paraId="5B37442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0003 – Содружество Багамских островов;</w:t>
      </w:r>
    </w:p>
    <w:p w14:paraId="723E628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0004 – Барбадос;</w:t>
      </w:r>
    </w:p>
    <w:p w14:paraId="5E57F25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0005 – Королевство Бахрейн;</w:t>
      </w:r>
    </w:p>
    <w:p w14:paraId="6EF9177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0006 – Белиз;</w:t>
      </w:r>
    </w:p>
    <w:p w14:paraId="6506604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0007 – Султанат Бруней </w:t>
      </w:r>
      <w:proofErr w:type="spellStart"/>
      <w:r w:rsidRPr="00D5266A">
        <w:rPr>
          <w:rFonts w:ascii="Helvetica" w:hAnsi="Helvetica" w:cs="Helvetica"/>
          <w:color w:val="0A0A0A"/>
        </w:rPr>
        <w:t>Даруссалам</w:t>
      </w:r>
      <w:proofErr w:type="spellEnd"/>
      <w:r w:rsidRPr="00D5266A">
        <w:rPr>
          <w:rFonts w:ascii="Helvetica" w:hAnsi="Helvetica" w:cs="Helvetica"/>
          <w:color w:val="0A0A0A"/>
        </w:rPr>
        <w:t>;</w:t>
      </w:r>
    </w:p>
    <w:p w14:paraId="40A9B18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0008 – Республика Вануату;</w:t>
      </w:r>
    </w:p>
    <w:p w14:paraId="490B96E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0009 – Кооперативная Республика Гайана;</w:t>
      </w:r>
    </w:p>
    <w:p w14:paraId="5CA8EB1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0010 – Республика Гватемала;</w:t>
      </w:r>
    </w:p>
    <w:p w14:paraId="5750B78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0011 – Гренада;</w:t>
      </w:r>
    </w:p>
    <w:p w14:paraId="4E9CFFB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0012 – Республика Джибути;</w:t>
      </w:r>
    </w:p>
    <w:p w14:paraId="780B1B9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0013 – Доминиканская Республика;</w:t>
      </w:r>
    </w:p>
    <w:p w14:paraId="5D2E89A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0014 – Содружество Доминики;</w:t>
      </w:r>
    </w:p>
    <w:p w14:paraId="5D64D4F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0015 – Королевство Испания (только в части территории Канарских островов);</w:t>
      </w:r>
    </w:p>
    <w:p w14:paraId="004AF22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0016 – Китайская Народная Республика (только в части территорий специальных административных районов Аомынь, (Макао) и Сянган (Гонконг);</w:t>
      </w:r>
    </w:p>
    <w:p w14:paraId="5637B32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0017 – Республика Колумбия;</w:t>
      </w:r>
    </w:p>
    <w:p w14:paraId="31DFDC59"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0018 – Федеративная Исламская Республика Коморские острова;</w:t>
      </w:r>
    </w:p>
    <w:p w14:paraId="7414FEA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0019 – Республика Коста-Рика;</w:t>
      </w:r>
    </w:p>
    <w:p w14:paraId="647A089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0020 – Малайзия (только в части территории анклава </w:t>
      </w:r>
      <w:proofErr w:type="spellStart"/>
      <w:r w:rsidRPr="00D5266A">
        <w:rPr>
          <w:rFonts w:ascii="Helvetica" w:hAnsi="Helvetica" w:cs="Helvetica"/>
          <w:color w:val="0A0A0A"/>
        </w:rPr>
        <w:t>Лабуан</w:t>
      </w:r>
      <w:proofErr w:type="spellEnd"/>
      <w:r w:rsidRPr="00D5266A">
        <w:rPr>
          <w:rFonts w:ascii="Helvetica" w:hAnsi="Helvetica" w:cs="Helvetica"/>
          <w:color w:val="0A0A0A"/>
        </w:rPr>
        <w:t>);</w:t>
      </w:r>
    </w:p>
    <w:p w14:paraId="38A92E8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0021 – Республика Либерия;</w:t>
      </w:r>
    </w:p>
    <w:p w14:paraId="4D69B89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0022 – Ливанская Республика;</w:t>
      </w:r>
    </w:p>
    <w:p w14:paraId="6BDA8B3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0023 – Княжество Лихтенштейн;</w:t>
      </w:r>
    </w:p>
    <w:p w14:paraId="3A1C609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0024 – Республика Маврикий;</w:t>
      </w:r>
    </w:p>
    <w:p w14:paraId="6DB2CBA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0025 – Исламская Республика Мавритания;</w:t>
      </w:r>
    </w:p>
    <w:p w14:paraId="7F3CED4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0026 – Португальская Республика (только в части территории Мадейра);</w:t>
      </w:r>
    </w:p>
    <w:p w14:paraId="5F68EFE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0027 – Мальдивская Республика;</w:t>
      </w:r>
    </w:p>
    <w:p w14:paraId="57C842A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0028 – Республика Маршалловы острова;</w:t>
      </w:r>
    </w:p>
    <w:p w14:paraId="38B2541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0029 – Княжество Монако;</w:t>
      </w:r>
    </w:p>
    <w:p w14:paraId="2C51CD0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0030 – Мальта;</w:t>
      </w:r>
    </w:p>
    <w:p w14:paraId="59326B7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0031 – Марианские острова;</w:t>
      </w:r>
    </w:p>
    <w:p w14:paraId="7E52893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0032 – Королевство Марокко (только в части территории города Танжер);</w:t>
      </w:r>
    </w:p>
    <w:p w14:paraId="3F6768B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0033 – Республика Союз Мьянма;</w:t>
      </w:r>
    </w:p>
    <w:p w14:paraId="7D28E4A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0034 – Республика Науру;</w:t>
      </w:r>
    </w:p>
    <w:p w14:paraId="24D8F95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0035 – Королевство Нидерланды (только в части территории острова Аруба и зависимых территорий Антильских островов);</w:t>
      </w:r>
    </w:p>
    <w:p w14:paraId="32E35A3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0036 – Федеративная Республика Нигерия;</w:t>
      </w:r>
    </w:p>
    <w:p w14:paraId="5708223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0037 – Новая Зеландия (только в части территории островов Кука и Ниуэ);</w:t>
      </w:r>
    </w:p>
    <w:p w14:paraId="6E15104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0038 – Республика Палау;</w:t>
      </w:r>
    </w:p>
    <w:p w14:paraId="391DBF5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0039 – Республика Панама;</w:t>
      </w:r>
    </w:p>
    <w:p w14:paraId="4542671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0040 – Независимое Государство Самоа;</w:t>
      </w:r>
    </w:p>
    <w:p w14:paraId="1F7A9CB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0041 – Республика Сан-Марино;</w:t>
      </w:r>
    </w:p>
    <w:p w14:paraId="3DDA5EB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0042 – Республика Сейшельские острова;</w:t>
      </w:r>
    </w:p>
    <w:p w14:paraId="7D70443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0043 – Сент-Винсент и Гренадины;</w:t>
      </w:r>
    </w:p>
    <w:p w14:paraId="56F67CA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0044 – Федерация Сент-Китс и Невис;</w:t>
      </w:r>
    </w:p>
    <w:p w14:paraId="4918D7D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0045 – Сент-Люсия;</w:t>
      </w:r>
    </w:p>
    <w:p w14:paraId="591CAC9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0046 – Соединенное Королевство Великобритании и Северной Ирландии (только в части следующих территорий остров Ангилья, Бермудские острова, Британские Виргинские острова, Гибралтар, Каймановы острова, остров Монтсеррат, острова Терке и </w:t>
      </w:r>
      <w:proofErr w:type="spellStart"/>
      <w:r w:rsidRPr="00D5266A">
        <w:rPr>
          <w:rFonts w:ascii="Helvetica" w:hAnsi="Helvetica" w:cs="Helvetica"/>
          <w:color w:val="0A0A0A"/>
        </w:rPr>
        <w:t>Кайкос</w:t>
      </w:r>
      <w:proofErr w:type="spellEnd"/>
      <w:r w:rsidRPr="00D5266A">
        <w:rPr>
          <w:rFonts w:ascii="Helvetica" w:hAnsi="Helvetica" w:cs="Helvetica"/>
          <w:color w:val="0A0A0A"/>
        </w:rPr>
        <w:t xml:space="preserve">, остров Мэн, Нормандские острова (острова Гернси, Джерси, Сарк, </w:t>
      </w:r>
      <w:proofErr w:type="spellStart"/>
      <w:r w:rsidRPr="00D5266A">
        <w:rPr>
          <w:rFonts w:ascii="Helvetica" w:hAnsi="Helvetica" w:cs="Helvetica"/>
          <w:color w:val="0A0A0A"/>
        </w:rPr>
        <w:t>Олдерни</w:t>
      </w:r>
      <w:proofErr w:type="spellEnd"/>
      <w:r w:rsidRPr="00D5266A">
        <w:rPr>
          <w:rFonts w:ascii="Helvetica" w:hAnsi="Helvetica" w:cs="Helvetica"/>
          <w:color w:val="0A0A0A"/>
        </w:rPr>
        <w:t xml:space="preserve">), остров Южная Георгия, Южные </w:t>
      </w:r>
      <w:proofErr w:type="spellStart"/>
      <w:r w:rsidRPr="00D5266A">
        <w:rPr>
          <w:rFonts w:ascii="Helvetica" w:hAnsi="Helvetica" w:cs="Helvetica"/>
          <w:color w:val="0A0A0A"/>
        </w:rPr>
        <w:t>Сэндвичевы</w:t>
      </w:r>
      <w:proofErr w:type="spellEnd"/>
      <w:r w:rsidRPr="00D5266A">
        <w:rPr>
          <w:rFonts w:ascii="Helvetica" w:hAnsi="Helvetica" w:cs="Helvetica"/>
          <w:color w:val="0A0A0A"/>
        </w:rPr>
        <w:t xml:space="preserve"> острова, остров </w:t>
      </w:r>
      <w:proofErr w:type="spellStart"/>
      <w:r w:rsidRPr="00D5266A">
        <w:rPr>
          <w:rFonts w:ascii="Helvetica" w:hAnsi="Helvetica" w:cs="Helvetica"/>
          <w:color w:val="0A0A0A"/>
        </w:rPr>
        <w:t>Чагос</w:t>
      </w:r>
      <w:proofErr w:type="spellEnd"/>
      <w:r w:rsidRPr="00D5266A">
        <w:rPr>
          <w:rFonts w:ascii="Helvetica" w:hAnsi="Helvetica" w:cs="Helvetica"/>
          <w:color w:val="0A0A0A"/>
        </w:rPr>
        <w:t>);</w:t>
      </w:r>
    </w:p>
    <w:p w14:paraId="3C160F1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0047 – Соединенные Штаты Америки (только в части американские Виргинские острова, остров Гуам, содружество Пуэрто-Рико, штат Вайоминг, штат Делавэр);</w:t>
      </w:r>
    </w:p>
    <w:p w14:paraId="354EF22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0048 – Республика Суринам;</w:t>
      </w:r>
    </w:p>
    <w:p w14:paraId="30AD80F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0049 – Объединенная Республика Танзания;</w:t>
      </w:r>
    </w:p>
    <w:p w14:paraId="0B3A3F2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0050 – Королевство Тонга;</w:t>
      </w:r>
    </w:p>
    <w:p w14:paraId="5496964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0051 – Республика Тринидад и Тобаго;</w:t>
      </w:r>
    </w:p>
    <w:p w14:paraId="3011434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0052 – Суверенная Демократическая Республика Фиджи;</w:t>
      </w:r>
    </w:p>
    <w:p w14:paraId="214F71F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0053 – Республика Филиппины;</w:t>
      </w:r>
    </w:p>
    <w:p w14:paraId="7FD48CE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0054 – Французская Республика (только в части остров </w:t>
      </w:r>
      <w:proofErr w:type="spellStart"/>
      <w:r w:rsidRPr="00D5266A">
        <w:rPr>
          <w:rFonts w:ascii="Helvetica" w:hAnsi="Helvetica" w:cs="Helvetica"/>
          <w:color w:val="0A0A0A"/>
        </w:rPr>
        <w:t>Кергелен</w:t>
      </w:r>
      <w:proofErr w:type="spellEnd"/>
      <w:r w:rsidRPr="00D5266A">
        <w:rPr>
          <w:rFonts w:ascii="Helvetica" w:hAnsi="Helvetica" w:cs="Helvetica"/>
          <w:color w:val="0A0A0A"/>
        </w:rPr>
        <w:t>, Французская Полинезия, Французская Гвиана);</w:t>
      </w:r>
    </w:p>
    <w:p w14:paraId="182FBC7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0055 – Черногория;</w:t>
      </w:r>
    </w:p>
    <w:p w14:paraId="7A5DDCA5"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0056 – Демократическая Республика Шри-Ланка;</w:t>
      </w:r>
    </w:p>
    <w:p w14:paraId="7DE6A7B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0057 – Ямайка.</w:t>
      </w:r>
    </w:p>
    <w:p w14:paraId="14BD086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39. При заполнении декларации используется следующая кодировка видов международных договоров (соглашений):</w:t>
      </w:r>
    </w:p>
    <w:p w14:paraId="32F800B4"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01 – Конвенция об </w:t>
      </w:r>
      <w:proofErr w:type="spellStart"/>
      <w:r w:rsidRPr="00D5266A">
        <w:rPr>
          <w:rFonts w:ascii="Helvetica" w:hAnsi="Helvetica" w:cs="Helvetica"/>
          <w:color w:val="0A0A0A"/>
        </w:rPr>
        <w:t>избежании</w:t>
      </w:r>
      <w:proofErr w:type="spellEnd"/>
      <w:r w:rsidRPr="00D5266A">
        <w:rPr>
          <w:rFonts w:ascii="Helvetica" w:hAnsi="Helvetica" w:cs="Helvetica"/>
          <w:color w:val="0A0A0A"/>
        </w:rPr>
        <w:t xml:space="preserve"> двойного налогообложения и предотвращении уклонения от уплаты налогов на доход и капитал;</w:t>
      </w:r>
    </w:p>
    <w:p w14:paraId="6F3FD67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02 – Учредительный договор Исламского Банка Развития;</w:t>
      </w:r>
    </w:p>
    <w:p w14:paraId="7F12EA8A"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03 – Соглашение об условиях работы регионального экологического центра Центральной Азии;</w:t>
      </w:r>
    </w:p>
    <w:p w14:paraId="13BCBE93"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04 – Учредительный договор Азиатского банка развития;</w:t>
      </w:r>
    </w:p>
    <w:p w14:paraId="4AE7CC6B"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05 – Соглашение по использованию гранта на проект строительства нового правительственного здания;</w:t>
      </w:r>
    </w:p>
    <w:p w14:paraId="3999F57F"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06 – Соглашение о финансовом сотрудничестве;</w:t>
      </w:r>
    </w:p>
    <w:p w14:paraId="626BCDB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07 – Меморандум о взаимопонимании;</w:t>
      </w:r>
    </w:p>
    <w:p w14:paraId="5CBF073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2784DC37"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09 – Соглашение Международного банка реконструкции и развития;</w:t>
      </w:r>
    </w:p>
    <w:p w14:paraId="2F0100E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10 – Соглашение Международного валютного фонда;</w:t>
      </w:r>
    </w:p>
    <w:p w14:paraId="548C4601"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11 – Соглашение Международной финансовой корпорации;</w:t>
      </w:r>
    </w:p>
    <w:p w14:paraId="2466750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12 – Конвенция об урегулировании инвестиционных споров;</w:t>
      </w:r>
    </w:p>
    <w:p w14:paraId="09A426C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13 – Соглашение об учреждении Европейского банка реконструкции и развития;</w:t>
      </w:r>
    </w:p>
    <w:p w14:paraId="79711BC0"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14 – Венская конвенция о дипломатических сношениях;</w:t>
      </w:r>
    </w:p>
    <w:p w14:paraId="0342851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15 – Договор по созданию Университета Центральной Азии;</w:t>
      </w:r>
    </w:p>
    <w:p w14:paraId="29F7C1CE"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lastRenderedPageBreak/>
        <w:t>16 – Конвенция об учреждении Многостороннего агентства по гарантиям инвестиций;</w:t>
      </w:r>
    </w:p>
    <w:p w14:paraId="20D2D382"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17 – Соглашение о Египетском университете исламской культуры «</w:t>
      </w:r>
      <w:proofErr w:type="spellStart"/>
      <w:r w:rsidRPr="00D5266A">
        <w:rPr>
          <w:rFonts w:ascii="Helvetica" w:hAnsi="Helvetica" w:cs="Helvetica"/>
          <w:color w:val="0A0A0A"/>
        </w:rPr>
        <w:t>Нур</w:t>
      </w:r>
      <w:proofErr w:type="spellEnd"/>
      <w:r w:rsidRPr="00D5266A">
        <w:rPr>
          <w:rFonts w:ascii="Helvetica" w:hAnsi="Helvetica" w:cs="Helvetica"/>
          <w:color w:val="0A0A0A"/>
        </w:rPr>
        <w:t>-Мубарак»;</w:t>
      </w:r>
    </w:p>
    <w:p w14:paraId="5308DA46"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18 – Соглашение о воздушном сообщении;</w:t>
      </w:r>
    </w:p>
    <w:p w14:paraId="15AA842D"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D5266A">
        <w:rPr>
          <w:rFonts w:ascii="Helvetica" w:hAnsi="Helvetica" w:cs="Helvetica"/>
          <w:color w:val="0A0A0A"/>
        </w:rPr>
        <w:t>агросервисных</w:t>
      </w:r>
      <w:proofErr w:type="spellEnd"/>
      <w:r w:rsidRPr="00D5266A">
        <w:rPr>
          <w:rFonts w:ascii="Helvetica" w:hAnsi="Helvetica" w:cs="Helvetica"/>
          <w:color w:val="0A0A0A"/>
        </w:rPr>
        <w:t xml:space="preserve"> служб»;</w:t>
      </w:r>
    </w:p>
    <w:p w14:paraId="499D768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38D9247C"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21 – Конвенция о привилегиях и иммунитетах Евразийского экономического сообщества;</w:t>
      </w:r>
    </w:p>
    <w:p w14:paraId="7D598428" w14:textId="77777777" w:rsidR="0071798C" w:rsidRPr="00D5266A" w:rsidRDefault="0071798C" w:rsidP="00D5266A">
      <w:pPr>
        <w:pStyle w:val="a3"/>
        <w:rPr>
          <w:rFonts w:ascii="Helvetica" w:hAnsi="Helvetica" w:cs="Helvetica"/>
          <w:color w:val="0A0A0A"/>
        </w:rPr>
      </w:pPr>
      <w:r w:rsidRPr="00D5266A">
        <w:rPr>
          <w:rFonts w:ascii="Helvetica" w:hAnsi="Helvetica" w:cs="Helvetica"/>
          <w:color w:val="0A0A0A"/>
        </w:rPr>
        <w:t>22 – Соглашение Азиатского банка инфраструктурных инвестиций;</w:t>
      </w:r>
    </w:p>
    <w:p w14:paraId="00289F8F" w14:textId="6EE9160E" w:rsidR="00342A05" w:rsidRPr="00D5266A" w:rsidRDefault="0071798C" w:rsidP="00D5266A">
      <w:pPr>
        <w:pStyle w:val="a3"/>
        <w:rPr>
          <w:rFonts w:ascii="Helvetica" w:hAnsi="Helvetica" w:cs="Helvetica"/>
          <w:color w:val="0A0A0A"/>
        </w:rPr>
      </w:pPr>
      <w:r w:rsidRPr="00D5266A">
        <w:rPr>
          <w:rFonts w:ascii="Helvetica" w:hAnsi="Helvetica" w:cs="Helvetica"/>
          <w:color w:val="0A0A0A"/>
        </w:rPr>
        <w:t>23 – Иные международные договоры (соглашения, конвенции).</w:t>
      </w:r>
    </w:p>
    <w:sectPr w:rsidR="00342A05" w:rsidRPr="00D526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67F"/>
    <w:rsid w:val="00342A05"/>
    <w:rsid w:val="0071798C"/>
    <w:rsid w:val="007D467F"/>
    <w:rsid w:val="00D52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B556C"/>
  <w15:chartTrackingRefBased/>
  <w15:docId w15:val="{8B678532-25AB-4C13-A42C-3574AEF4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79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179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455314">
      <w:bodyDiv w:val="1"/>
      <w:marLeft w:val="0"/>
      <w:marRight w:val="0"/>
      <w:marTop w:val="0"/>
      <w:marBottom w:val="0"/>
      <w:divBdr>
        <w:top w:val="none" w:sz="0" w:space="0" w:color="auto"/>
        <w:left w:val="none" w:sz="0" w:space="0" w:color="auto"/>
        <w:bottom w:val="none" w:sz="0" w:space="0" w:color="auto"/>
        <w:right w:val="none" w:sz="0" w:space="0" w:color="auto"/>
      </w:divBdr>
    </w:div>
    <w:div w:id="157816574">
      <w:bodyDiv w:val="1"/>
      <w:marLeft w:val="0"/>
      <w:marRight w:val="0"/>
      <w:marTop w:val="0"/>
      <w:marBottom w:val="0"/>
      <w:divBdr>
        <w:top w:val="none" w:sz="0" w:space="0" w:color="auto"/>
        <w:left w:val="none" w:sz="0" w:space="0" w:color="auto"/>
        <w:bottom w:val="none" w:sz="0" w:space="0" w:color="auto"/>
        <w:right w:val="none" w:sz="0" w:space="0" w:color="auto"/>
      </w:divBdr>
    </w:div>
    <w:div w:id="367754235">
      <w:bodyDiv w:val="1"/>
      <w:marLeft w:val="0"/>
      <w:marRight w:val="0"/>
      <w:marTop w:val="0"/>
      <w:marBottom w:val="0"/>
      <w:divBdr>
        <w:top w:val="none" w:sz="0" w:space="0" w:color="auto"/>
        <w:left w:val="none" w:sz="0" w:space="0" w:color="auto"/>
        <w:bottom w:val="none" w:sz="0" w:space="0" w:color="auto"/>
        <w:right w:val="none" w:sz="0" w:space="0" w:color="auto"/>
      </w:divBdr>
    </w:div>
    <w:div w:id="422918182">
      <w:bodyDiv w:val="1"/>
      <w:marLeft w:val="0"/>
      <w:marRight w:val="0"/>
      <w:marTop w:val="0"/>
      <w:marBottom w:val="0"/>
      <w:divBdr>
        <w:top w:val="none" w:sz="0" w:space="0" w:color="auto"/>
        <w:left w:val="none" w:sz="0" w:space="0" w:color="auto"/>
        <w:bottom w:val="none" w:sz="0" w:space="0" w:color="auto"/>
        <w:right w:val="none" w:sz="0" w:space="0" w:color="auto"/>
      </w:divBdr>
    </w:div>
    <w:div w:id="442924834">
      <w:bodyDiv w:val="1"/>
      <w:marLeft w:val="0"/>
      <w:marRight w:val="0"/>
      <w:marTop w:val="0"/>
      <w:marBottom w:val="0"/>
      <w:divBdr>
        <w:top w:val="none" w:sz="0" w:space="0" w:color="auto"/>
        <w:left w:val="none" w:sz="0" w:space="0" w:color="auto"/>
        <w:bottom w:val="none" w:sz="0" w:space="0" w:color="auto"/>
        <w:right w:val="none" w:sz="0" w:space="0" w:color="auto"/>
      </w:divBdr>
    </w:div>
    <w:div w:id="469785003">
      <w:bodyDiv w:val="1"/>
      <w:marLeft w:val="0"/>
      <w:marRight w:val="0"/>
      <w:marTop w:val="0"/>
      <w:marBottom w:val="0"/>
      <w:divBdr>
        <w:top w:val="none" w:sz="0" w:space="0" w:color="auto"/>
        <w:left w:val="none" w:sz="0" w:space="0" w:color="auto"/>
        <w:bottom w:val="none" w:sz="0" w:space="0" w:color="auto"/>
        <w:right w:val="none" w:sz="0" w:space="0" w:color="auto"/>
      </w:divBdr>
    </w:div>
    <w:div w:id="690836474">
      <w:bodyDiv w:val="1"/>
      <w:marLeft w:val="0"/>
      <w:marRight w:val="0"/>
      <w:marTop w:val="0"/>
      <w:marBottom w:val="0"/>
      <w:divBdr>
        <w:top w:val="none" w:sz="0" w:space="0" w:color="auto"/>
        <w:left w:val="none" w:sz="0" w:space="0" w:color="auto"/>
        <w:bottom w:val="none" w:sz="0" w:space="0" w:color="auto"/>
        <w:right w:val="none" w:sz="0" w:space="0" w:color="auto"/>
      </w:divBdr>
    </w:div>
    <w:div w:id="804199366">
      <w:bodyDiv w:val="1"/>
      <w:marLeft w:val="0"/>
      <w:marRight w:val="0"/>
      <w:marTop w:val="0"/>
      <w:marBottom w:val="0"/>
      <w:divBdr>
        <w:top w:val="none" w:sz="0" w:space="0" w:color="auto"/>
        <w:left w:val="none" w:sz="0" w:space="0" w:color="auto"/>
        <w:bottom w:val="none" w:sz="0" w:space="0" w:color="auto"/>
        <w:right w:val="none" w:sz="0" w:space="0" w:color="auto"/>
      </w:divBdr>
    </w:div>
    <w:div w:id="1211306478">
      <w:bodyDiv w:val="1"/>
      <w:marLeft w:val="0"/>
      <w:marRight w:val="0"/>
      <w:marTop w:val="0"/>
      <w:marBottom w:val="0"/>
      <w:divBdr>
        <w:top w:val="none" w:sz="0" w:space="0" w:color="auto"/>
        <w:left w:val="none" w:sz="0" w:space="0" w:color="auto"/>
        <w:bottom w:val="none" w:sz="0" w:space="0" w:color="auto"/>
        <w:right w:val="none" w:sz="0" w:space="0" w:color="auto"/>
      </w:divBdr>
    </w:div>
    <w:div w:id="1215459732">
      <w:bodyDiv w:val="1"/>
      <w:marLeft w:val="0"/>
      <w:marRight w:val="0"/>
      <w:marTop w:val="0"/>
      <w:marBottom w:val="0"/>
      <w:divBdr>
        <w:top w:val="none" w:sz="0" w:space="0" w:color="auto"/>
        <w:left w:val="none" w:sz="0" w:space="0" w:color="auto"/>
        <w:bottom w:val="none" w:sz="0" w:space="0" w:color="auto"/>
        <w:right w:val="none" w:sz="0" w:space="0" w:color="auto"/>
      </w:divBdr>
    </w:div>
    <w:div w:id="1230266467">
      <w:bodyDiv w:val="1"/>
      <w:marLeft w:val="0"/>
      <w:marRight w:val="0"/>
      <w:marTop w:val="0"/>
      <w:marBottom w:val="0"/>
      <w:divBdr>
        <w:top w:val="none" w:sz="0" w:space="0" w:color="auto"/>
        <w:left w:val="none" w:sz="0" w:space="0" w:color="auto"/>
        <w:bottom w:val="none" w:sz="0" w:space="0" w:color="auto"/>
        <w:right w:val="none" w:sz="0" w:space="0" w:color="auto"/>
      </w:divBdr>
    </w:div>
    <w:div w:id="1399746985">
      <w:bodyDiv w:val="1"/>
      <w:marLeft w:val="0"/>
      <w:marRight w:val="0"/>
      <w:marTop w:val="0"/>
      <w:marBottom w:val="0"/>
      <w:divBdr>
        <w:top w:val="none" w:sz="0" w:space="0" w:color="auto"/>
        <w:left w:val="none" w:sz="0" w:space="0" w:color="auto"/>
        <w:bottom w:val="none" w:sz="0" w:space="0" w:color="auto"/>
        <w:right w:val="none" w:sz="0" w:space="0" w:color="auto"/>
      </w:divBdr>
    </w:div>
    <w:div w:id="1468813995">
      <w:bodyDiv w:val="1"/>
      <w:marLeft w:val="0"/>
      <w:marRight w:val="0"/>
      <w:marTop w:val="0"/>
      <w:marBottom w:val="0"/>
      <w:divBdr>
        <w:top w:val="none" w:sz="0" w:space="0" w:color="auto"/>
        <w:left w:val="none" w:sz="0" w:space="0" w:color="auto"/>
        <w:bottom w:val="none" w:sz="0" w:space="0" w:color="auto"/>
        <w:right w:val="none" w:sz="0" w:space="0" w:color="auto"/>
      </w:divBdr>
    </w:div>
    <w:div w:id="1498691556">
      <w:bodyDiv w:val="1"/>
      <w:marLeft w:val="0"/>
      <w:marRight w:val="0"/>
      <w:marTop w:val="0"/>
      <w:marBottom w:val="0"/>
      <w:divBdr>
        <w:top w:val="none" w:sz="0" w:space="0" w:color="auto"/>
        <w:left w:val="none" w:sz="0" w:space="0" w:color="auto"/>
        <w:bottom w:val="none" w:sz="0" w:space="0" w:color="auto"/>
        <w:right w:val="none" w:sz="0" w:space="0" w:color="auto"/>
      </w:divBdr>
    </w:div>
    <w:div w:id="1542397424">
      <w:bodyDiv w:val="1"/>
      <w:marLeft w:val="0"/>
      <w:marRight w:val="0"/>
      <w:marTop w:val="0"/>
      <w:marBottom w:val="0"/>
      <w:divBdr>
        <w:top w:val="none" w:sz="0" w:space="0" w:color="auto"/>
        <w:left w:val="none" w:sz="0" w:space="0" w:color="auto"/>
        <w:bottom w:val="none" w:sz="0" w:space="0" w:color="auto"/>
        <w:right w:val="none" w:sz="0" w:space="0" w:color="auto"/>
      </w:divBdr>
    </w:div>
    <w:div w:id="2014645586">
      <w:bodyDiv w:val="1"/>
      <w:marLeft w:val="0"/>
      <w:marRight w:val="0"/>
      <w:marTop w:val="0"/>
      <w:marBottom w:val="0"/>
      <w:divBdr>
        <w:top w:val="none" w:sz="0" w:space="0" w:color="auto"/>
        <w:left w:val="none" w:sz="0" w:space="0" w:color="auto"/>
        <w:bottom w:val="none" w:sz="0" w:space="0" w:color="auto"/>
        <w:right w:val="none" w:sz="0" w:space="0" w:color="auto"/>
      </w:divBdr>
    </w:div>
    <w:div w:id="2016102974">
      <w:bodyDiv w:val="1"/>
      <w:marLeft w:val="0"/>
      <w:marRight w:val="0"/>
      <w:marTop w:val="0"/>
      <w:marBottom w:val="0"/>
      <w:divBdr>
        <w:top w:val="none" w:sz="0" w:space="0" w:color="auto"/>
        <w:left w:val="none" w:sz="0" w:space="0" w:color="auto"/>
        <w:bottom w:val="none" w:sz="0" w:space="0" w:color="auto"/>
        <w:right w:val="none" w:sz="0" w:space="0" w:color="auto"/>
      </w:divBdr>
    </w:div>
    <w:div w:id="2051562812">
      <w:bodyDiv w:val="1"/>
      <w:marLeft w:val="0"/>
      <w:marRight w:val="0"/>
      <w:marTop w:val="0"/>
      <w:marBottom w:val="0"/>
      <w:divBdr>
        <w:top w:val="none" w:sz="0" w:space="0" w:color="auto"/>
        <w:left w:val="none" w:sz="0" w:space="0" w:color="auto"/>
        <w:bottom w:val="none" w:sz="0" w:space="0" w:color="auto"/>
        <w:right w:val="none" w:sz="0" w:space="0" w:color="auto"/>
      </w:divBdr>
    </w:div>
    <w:div w:id="206027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12273</Words>
  <Characters>69961</Characters>
  <Application>Microsoft Office Word</Application>
  <DocSecurity>0</DocSecurity>
  <Lines>583</Lines>
  <Paragraphs>164</Paragraphs>
  <ScaleCrop>false</ScaleCrop>
  <Company/>
  <LinksUpToDate>false</LinksUpToDate>
  <CharactersWithSpaces>82070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5</cp:revision>
  <dcterms:created xsi:type="dcterms:W3CDTF">2023-04-26T06:07:00Z</dcterms:created>
  <dcterms:modified xsi:type="dcterms:W3CDTF">2023-07-20T08:53:00Z</dcterms:modified>
</cp:coreProperties>
</file>